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7EC2E055"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sidR="00DA0916">
        <w:rPr>
          <w:rFonts w:ascii="Arial" w:eastAsia="MS Mincho" w:hAnsi="Arial"/>
          <w:b/>
          <w:bCs/>
          <w:noProof/>
          <w:color w:val="000000"/>
          <w:sz w:val="24"/>
          <w:szCs w:val="24"/>
          <w:lang w:val="en-US" w:eastAsia="ja-JP"/>
        </w:rPr>
        <w:t>11</w:t>
      </w:r>
      <w:r w:rsidR="00863DD0">
        <w:rPr>
          <w:rFonts w:ascii="Arial" w:eastAsia="MS Mincho" w:hAnsi="Arial"/>
          <w:b/>
          <w:bCs/>
          <w:noProof/>
          <w:color w:val="000000"/>
          <w:sz w:val="24"/>
          <w:szCs w:val="24"/>
          <w:lang w:val="en-US" w:eastAsia="ja-JP"/>
        </w:rPr>
        <w:t>1</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F95DBE" w:rsidRPr="00F95DBE">
        <w:rPr>
          <w:rFonts w:ascii="Arial" w:eastAsia="MS Mincho" w:hAnsi="Arial"/>
          <w:b/>
          <w:bCs/>
          <w:noProof/>
          <w:color w:val="000000"/>
          <w:sz w:val="24"/>
          <w:szCs w:val="24"/>
          <w:lang w:eastAsia="ja-JP"/>
        </w:rPr>
        <w:t>R4-2409575</w:t>
      </w:r>
      <w:r w:rsidR="00F95DBE" w:rsidRPr="00F95DBE">
        <w:rPr>
          <w:rFonts w:ascii="Arial" w:eastAsia="MS Mincho" w:hAnsi="Arial"/>
          <w:b/>
          <w:bCs/>
          <w:noProof/>
          <w:color w:val="000000"/>
          <w:sz w:val="24"/>
          <w:szCs w:val="24"/>
          <w:lang w:eastAsia="ja-JP"/>
        </w:rPr>
        <w:t xml:space="preserve"> </w:t>
      </w:r>
      <w:r w:rsidR="00863DD0">
        <w:rPr>
          <w:rFonts w:ascii="Arial" w:eastAsia="MS Mincho" w:hAnsi="Arial"/>
          <w:b/>
          <w:bCs/>
          <w:noProof/>
          <w:color w:val="000000"/>
          <w:sz w:val="24"/>
          <w:szCs w:val="24"/>
          <w:lang w:val="en-US" w:eastAsia="ja-JP"/>
        </w:rPr>
        <w:t>Fukuoka, Japan</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1C511F15" w:rsidR="00E752F9" w:rsidRPr="004A388F" w:rsidRDefault="00863DD0"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May 20 – 24</w:t>
      </w:r>
      <w:r w:rsidR="00C115A5">
        <w:rPr>
          <w:rFonts w:ascii="Arial" w:eastAsia="MS Mincho" w:hAnsi="Arial"/>
          <w:b/>
          <w:bCs/>
          <w:noProof/>
          <w:color w:val="000000"/>
          <w:sz w:val="24"/>
          <w:szCs w:val="24"/>
          <w:lang w:eastAsia="ja-JP"/>
        </w:rPr>
        <w:t>, 2024</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568B15A8"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A052AD">
        <w:rPr>
          <w:rFonts w:ascii="Arial" w:eastAsia="MS Gothic" w:hAnsi="Arial" w:cs="Arial"/>
          <w:b/>
          <w:sz w:val="24"/>
          <w:szCs w:val="24"/>
          <w:lang w:eastAsia="ja-JP"/>
        </w:rPr>
        <w:t>7.12.1.2</w:t>
      </w:r>
    </w:p>
    <w:p w14:paraId="68F4337F" w14:textId="06F6C071"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068AC96D" w14:textId="48621394" w:rsidR="00920D4F" w:rsidRDefault="00E752F9" w:rsidP="00920D4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009E5820">
        <w:rPr>
          <w:rFonts w:ascii="Arial" w:eastAsia="MS Gothic" w:hAnsi="Arial"/>
          <w:b/>
          <w:color w:val="000000"/>
          <w:sz w:val="24"/>
          <w:lang w:eastAsia="ja-JP"/>
        </w:rPr>
        <w:tab/>
      </w:r>
      <w:r w:rsidR="00863DD0">
        <w:rPr>
          <w:rFonts w:ascii="Arial" w:eastAsia="MS Gothic" w:hAnsi="Arial"/>
          <w:b/>
          <w:color w:val="000000"/>
          <w:sz w:val="24"/>
          <w:lang w:eastAsia="ja-JP"/>
        </w:rPr>
        <w:t>Definition of Carrier Phase and Carrier Phase Difference with Carrier Frequency Offsets</w:t>
      </w:r>
    </w:p>
    <w:p w14:paraId="71FFD46D" w14:textId="48C036FB"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324F4B">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81E27A6" w14:textId="43609FA2" w:rsidR="00A4379E" w:rsidRDefault="004A388F">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7A2BEF16" w14:textId="42B7182F" w:rsidR="00F53429" w:rsidRDefault="001B4FD6" w:rsidP="001B4FD6">
      <w:pPr>
        <w:jc w:val="both"/>
        <w:rPr>
          <w:sz w:val="22"/>
          <w:szCs w:val="22"/>
        </w:rPr>
      </w:pPr>
      <w:r w:rsidRPr="001B4FD6">
        <w:rPr>
          <w:sz w:val="22"/>
          <w:szCs w:val="22"/>
        </w:rPr>
        <w:t>The effect of carrier frequency offset on carrier phase measurements was discussed previously in contributions [1-5].  In [</w:t>
      </w:r>
      <w:r w:rsidR="000631DE">
        <w:rPr>
          <w:sz w:val="22"/>
          <w:szCs w:val="22"/>
        </w:rPr>
        <w:t>3</w:t>
      </w:r>
      <w:r w:rsidRPr="001B4FD6">
        <w:rPr>
          <w:sz w:val="22"/>
          <w:szCs w:val="22"/>
        </w:rPr>
        <w:t xml:space="preserve">], it was shown that if the frequency offset of the TRP relative to the PRU is different than the frequency offset of the TRP relative to the UE, then the carrier phase difference measurements will have a </w:t>
      </w:r>
      <w:r w:rsidRPr="000B437E">
        <w:rPr>
          <w:sz w:val="22"/>
          <w:szCs w:val="22"/>
        </w:rPr>
        <w:t>mean error</w:t>
      </w:r>
      <w:r w:rsidRPr="001B4FD6">
        <w:rPr>
          <w:sz w:val="22"/>
          <w:szCs w:val="22"/>
        </w:rPr>
        <w:t xml:space="preserve"> which depends on the difference of these carrier frequency offsets and the number of symbols separating the DL-PRS within the slot used for carrier phase difference measurement.  In [</w:t>
      </w:r>
      <w:r w:rsidR="000631DE">
        <w:rPr>
          <w:sz w:val="22"/>
          <w:szCs w:val="22"/>
        </w:rPr>
        <w:t>4</w:t>
      </w:r>
      <w:r w:rsidRPr="001B4FD6">
        <w:rPr>
          <w:sz w:val="22"/>
          <w:szCs w:val="22"/>
        </w:rPr>
        <w:t>],</w:t>
      </w:r>
      <w:r>
        <w:rPr>
          <w:sz w:val="22"/>
          <w:szCs w:val="22"/>
        </w:rPr>
        <w:t xml:space="preserve"> the case was considered in which the UE and the PRU</w:t>
      </w:r>
      <w:r w:rsidR="00B61D1A">
        <w:rPr>
          <w:sz w:val="22"/>
          <w:szCs w:val="22"/>
        </w:rPr>
        <w:t xml:space="preserve"> take measurements in different slots, and it was shown that the mean </w:t>
      </w:r>
      <w:r w:rsidR="00F53429">
        <w:rPr>
          <w:sz w:val="22"/>
          <w:szCs w:val="22"/>
        </w:rPr>
        <w:t>error of the carrier phase difference measurement increases by an additional term that depends on the carrier frequency offsets of the TRP’s relative to each other and the number of slots separating the UE and PRU measurements.</w:t>
      </w:r>
      <w:r w:rsidR="005A675F">
        <w:rPr>
          <w:sz w:val="22"/>
          <w:szCs w:val="22"/>
        </w:rPr>
        <w:t xml:space="preserve">  </w:t>
      </w:r>
      <w:r w:rsidR="00F53429">
        <w:rPr>
          <w:sz w:val="22"/>
          <w:szCs w:val="22"/>
        </w:rPr>
        <w:t>In [</w:t>
      </w:r>
      <w:r w:rsidR="000631DE">
        <w:rPr>
          <w:sz w:val="22"/>
          <w:szCs w:val="22"/>
        </w:rPr>
        <w:t>5</w:t>
      </w:r>
      <w:r w:rsidR="00F53429">
        <w:rPr>
          <w:sz w:val="22"/>
          <w:szCs w:val="22"/>
        </w:rPr>
        <w:t>], it was shown that the maximum mean carrier phase difference error corresponding to worst case carrier frequency offsets can be mapped to a differential distance error which is independent of frequency.</w:t>
      </w:r>
    </w:p>
    <w:p w14:paraId="3A88E178" w14:textId="303E9CED" w:rsidR="00064144" w:rsidRPr="00064144" w:rsidRDefault="00F53429" w:rsidP="00064144">
      <w:pPr>
        <w:jc w:val="both"/>
        <w:rPr>
          <w:sz w:val="22"/>
          <w:szCs w:val="22"/>
        </w:rPr>
      </w:pPr>
      <w:r>
        <w:rPr>
          <w:sz w:val="22"/>
          <w:szCs w:val="22"/>
        </w:rPr>
        <w:t xml:space="preserve">In this contribution, </w:t>
      </w:r>
      <w:r w:rsidR="00021A0C">
        <w:rPr>
          <w:sz w:val="22"/>
          <w:szCs w:val="22"/>
        </w:rPr>
        <w:t xml:space="preserve">we show that carrier frequency offsets can </w:t>
      </w:r>
      <w:r w:rsidR="00173CF1">
        <w:rPr>
          <w:sz w:val="22"/>
          <w:szCs w:val="22"/>
        </w:rPr>
        <w:t xml:space="preserve">cause very significant variation of the carrier phase across the slot (and between slots), and as a result, the definition of reference symbol carrier phase needs clarification </w:t>
      </w:r>
      <w:proofErr w:type="gramStart"/>
      <w:r w:rsidR="00173CF1">
        <w:rPr>
          <w:sz w:val="22"/>
          <w:szCs w:val="22"/>
        </w:rPr>
        <w:t>in order for</w:t>
      </w:r>
      <w:proofErr w:type="gramEnd"/>
      <w:r w:rsidR="00173CF1">
        <w:rPr>
          <w:sz w:val="22"/>
          <w:szCs w:val="22"/>
        </w:rPr>
        <w:t xml:space="preserve"> the measurements to be useful.  A similar situation exists with respect to the definition and measurement of the reference symbol carrier phase difference.  </w:t>
      </w:r>
      <w:r w:rsidR="00064144">
        <w:rPr>
          <w:sz w:val="22"/>
          <w:szCs w:val="22"/>
        </w:rPr>
        <w:t xml:space="preserve">One method for resolving the issue is to define the reference symbol carrier phase at a particular location within the slot. Alternatively, a common reference time can be defined for reference symbol carrier phase in which measurements, regardless of </w:t>
      </w:r>
      <w:proofErr w:type="gramStart"/>
      <w:r w:rsidR="00064144">
        <w:rPr>
          <w:sz w:val="22"/>
          <w:szCs w:val="22"/>
        </w:rPr>
        <w:t>where</w:t>
      </w:r>
      <w:proofErr w:type="gramEnd"/>
      <w:r w:rsidR="00064144">
        <w:rPr>
          <w:sz w:val="22"/>
          <w:szCs w:val="22"/>
        </w:rPr>
        <w:t xml:space="preserve"> taken within a slot of set of slots, are referred to a common reference time by estimating and removing any phase change due to carrier frequency offset in the interval between the time of measurement and the common reference time.</w:t>
      </w:r>
    </w:p>
    <w:p w14:paraId="7F50E7D3" w14:textId="4F95A286" w:rsidR="00F349ED" w:rsidRPr="00F349ED" w:rsidRDefault="00F349ED" w:rsidP="00F349ED">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Variation </w:t>
      </w:r>
      <w:r w:rsidR="00532097">
        <w:rPr>
          <w:rFonts w:ascii="Arial" w:eastAsia="MS Gothic" w:hAnsi="Arial"/>
          <w:b/>
          <w:color w:val="000000"/>
          <w:kern w:val="28"/>
          <w:sz w:val="28"/>
          <w:lang w:eastAsia="ja-JP"/>
        </w:rPr>
        <w:t xml:space="preserve">of Carrier Phase </w:t>
      </w:r>
      <w:r>
        <w:rPr>
          <w:rFonts w:ascii="Arial" w:eastAsia="MS Gothic" w:hAnsi="Arial"/>
          <w:b/>
          <w:color w:val="000000"/>
          <w:kern w:val="28"/>
          <w:sz w:val="28"/>
          <w:lang w:eastAsia="ja-JP"/>
        </w:rPr>
        <w:t>Due to Frequency Offset</w:t>
      </w:r>
    </w:p>
    <w:p w14:paraId="6FD78375" w14:textId="7C2514FE" w:rsidR="00974543" w:rsidRDefault="00385C42" w:rsidP="004D6D3F">
      <w:pPr>
        <w:spacing w:after="120"/>
        <w:jc w:val="both"/>
        <w:rPr>
          <w:sz w:val="22"/>
          <w:szCs w:val="22"/>
        </w:rPr>
      </w:pPr>
      <w:r>
        <w:rPr>
          <w:sz w:val="22"/>
          <w:szCs w:val="22"/>
        </w:rPr>
        <w:t xml:space="preserve">In previous contributions [1-6], only </w:t>
      </w:r>
      <w:r w:rsidR="00064144">
        <w:rPr>
          <w:sz w:val="22"/>
          <w:szCs w:val="22"/>
        </w:rPr>
        <w:t xml:space="preserve">reference symbol </w:t>
      </w:r>
      <w:r>
        <w:rPr>
          <w:sz w:val="22"/>
          <w:szCs w:val="22"/>
        </w:rPr>
        <w:t>carrier phase difference measurements were considered. In this contribution, we consider the impact of carrier frequency offset</w:t>
      </w:r>
      <w:r w:rsidR="00064144">
        <w:rPr>
          <w:sz w:val="22"/>
          <w:szCs w:val="22"/>
        </w:rPr>
        <w:t xml:space="preserve"> directly</w:t>
      </w:r>
      <w:r>
        <w:rPr>
          <w:sz w:val="22"/>
          <w:szCs w:val="22"/>
        </w:rPr>
        <w:t xml:space="preserve"> on </w:t>
      </w:r>
      <w:r w:rsidR="00064144">
        <w:rPr>
          <w:sz w:val="22"/>
          <w:szCs w:val="22"/>
        </w:rPr>
        <w:t xml:space="preserve">reference symbol </w:t>
      </w:r>
      <w:r>
        <w:rPr>
          <w:sz w:val="22"/>
          <w:szCs w:val="22"/>
        </w:rPr>
        <w:t xml:space="preserve">carrier phase measurements. </w:t>
      </w:r>
    </w:p>
    <w:p w14:paraId="123BAC05" w14:textId="5FAD19FD" w:rsidR="00A2596E" w:rsidRDefault="00385C42" w:rsidP="004D6D3F">
      <w:pPr>
        <w:spacing w:after="120"/>
        <w:jc w:val="both"/>
        <w:rPr>
          <w:sz w:val="22"/>
          <w:szCs w:val="22"/>
        </w:rPr>
      </w:pPr>
      <w:r>
        <w:rPr>
          <w:sz w:val="22"/>
          <w:szCs w:val="22"/>
        </w:rPr>
        <w:t>We first consider some assumptions about the</w:t>
      </w:r>
      <w:r w:rsidR="00974543">
        <w:rPr>
          <w:sz w:val="22"/>
          <w:szCs w:val="22"/>
        </w:rPr>
        <w:t xml:space="preserve"> behavior of the UE receiver.  </w:t>
      </w:r>
      <w:r w:rsidR="00A2596E">
        <w:rPr>
          <w:sz w:val="22"/>
          <w:szCs w:val="22"/>
        </w:rPr>
        <w:t>The phase of the</w:t>
      </w:r>
      <w:r w:rsidR="008A67CA">
        <w:rPr>
          <w:sz w:val="22"/>
          <w:szCs w:val="22"/>
        </w:rPr>
        <w:t xml:space="preserve"> DL-PRS</w:t>
      </w:r>
      <w:r w:rsidR="00A2596E">
        <w:rPr>
          <w:sz w:val="22"/>
          <w:szCs w:val="22"/>
        </w:rPr>
        <w:t xml:space="preserve"> reference symbol that is measured depends on </w:t>
      </w:r>
      <w:r w:rsidR="00280E21">
        <w:rPr>
          <w:sz w:val="22"/>
          <w:szCs w:val="22"/>
        </w:rPr>
        <w:t>the phase tracking behavior of the UE.  Since the UE needs to demodulate data from the serving cell, it is reasonable to assume that the UE tracks the frequency and phase of the serving cell.</w:t>
      </w:r>
    </w:p>
    <w:p w14:paraId="60EBFBC4" w14:textId="51478ADF" w:rsidR="00280E21" w:rsidRDefault="00280E21" w:rsidP="00502DD2">
      <w:pPr>
        <w:spacing w:after="120"/>
        <w:ind w:left="1440" w:hanging="1440"/>
        <w:jc w:val="both"/>
        <w:rPr>
          <w:sz w:val="22"/>
          <w:szCs w:val="22"/>
        </w:rPr>
      </w:pPr>
      <w:r w:rsidRPr="00502DD2">
        <w:rPr>
          <w:b/>
          <w:bCs/>
          <w:sz w:val="22"/>
          <w:szCs w:val="22"/>
        </w:rPr>
        <w:t>Assumption 1:</w:t>
      </w:r>
      <w:r w:rsidR="00502DD2">
        <w:rPr>
          <w:sz w:val="22"/>
          <w:szCs w:val="22"/>
        </w:rPr>
        <w:tab/>
      </w:r>
      <w:r>
        <w:rPr>
          <w:sz w:val="22"/>
          <w:szCs w:val="22"/>
        </w:rPr>
        <w:t>The UE tracks the frequency and phase of the serving cell and measures the phase of the</w:t>
      </w:r>
      <w:r w:rsidR="008A67CA">
        <w:rPr>
          <w:sz w:val="22"/>
          <w:szCs w:val="22"/>
        </w:rPr>
        <w:t xml:space="preserve"> DL-PRS</w:t>
      </w:r>
      <w:r>
        <w:rPr>
          <w:sz w:val="22"/>
          <w:szCs w:val="22"/>
        </w:rPr>
        <w:t xml:space="preserve"> </w:t>
      </w:r>
      <w:r w:rsidR="00007CDC">
        <w:rPr>
          <w:sz w:val="22"/>
          <w:szCs w:val="22"/>
        </w:rPr>
        <w:t xml:space="preserve">symbol </w:t>
      </w:r>
      <w:r>
        <w:rPr>
          <w:sz w:val="22"/>
          <w:szCs w:val="22"/>
        </w:rPr>
        <w:t xml:space="preserve">relative to the </w:t>
      </w:r>
      <w:r w:rsidR="00007CDC">
        <w:rPr>
          <w:sz w:val="22"/>
          <w:szCs w:val="22"/>
        </w:rPr>
        <w:t xml:space="preserve">carrier </w:t>
      </w:r>
      <w:r>
        <w:rPr>
          <w:sz w:val="22"/>
          <w:szCs w:val="22"/>
        </w:rPr>
        <w:t>phase of the serving cell.</w:t>
      </w:r>
    </w:p>
    <w:p w14:paraId="78504E40" w14:textId="415C9CC8" w:rsidR="00715C52" w:rsidRDefault="00715C52" w:rsidP="00972F1D">
      <w:pPr>
        <w:spacing w:after="120"/>
        <w:jc w:val="both"/>
        <w:rPr>
          <w:sz w:val="22"/>
          <w:szCs w:val="22"/>
        </w:rPr>
      </w:pPr>
      <w:r>
        <w:rPr>
          <w:sz w:val="22"/>
          <w:szCs w:val="22"/>
        </w:rPr>
        <w:lastRenderedPageBreak/>
        <w:t>Let</w:t>
      </w:r>
      <w:r w:rsidR="00502DD2">
        <w:rPr>
          <w:sz w:val="22"/>
          <w:szCs w:val="22"/>
        </w:rPr>
        <w:t xml:space="preserve"> </w:t>
      </w:r>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l,UE</m:t>
            </m:r>
          </m:sub>
        </m:sSub>
      </m:oMath>
      <w:r w:rsidR="00972F1D">
        <w:rPr>
          <w:sz w:val="22"/>
          <w:szCs w:val="22"/>
        </w:rPr>
        <w:t xml:space="preserve"> </w:t>
      </w:r>
      <w:r>
        <w:rPr>
          <w:sz w:val="22"/>
          <w:szCs w:val="22"/>
        </w:rPr>
        <w:t xml:space="preserve">denote the frequency offset </w:t>
      </w:r>
      <w:r w:rsidR="00105DEF">
        <w:rPr>
          <w:sz w:val="22"/>
          <w:szCs w:val="22"/>
        </w:rPr>
        <w:t>(in Hertz)</w:t>
      </w:r>
      <w:r>
        <w:rPr>
          <w:sz w:val="22"/>
          <w:szCs w:val="22"/>
        </w:rPr>
        <w:t xml:space="preserve"> of the </w:t>
      </w:r>
      <w:r w:rsidR="00831DA2">
        <w:rPr>
          <w:i/>
          <w:iCs/>
          <w:sz w:val="22"/>
          <w:szCs w:val="22"/>
        </w:rPr>
        <w:t>l</w:t>
      </w:r>
      <w:r>
        <w:rPr>
          <w:sz w:val="22"/>
          <w:szCs w:val="22"/>
        </w:rPr>
        <w:t>-</w:t>
      </w:r>
      <w:proofErr w:type="spellStart"/>
      <w:r>
        <w:rPr>
          <w:sz w:val="22"/>
          <w:szCs w:val="22"/>
        </w:rPr>
        <w:t>th</w:t>
      </w:r>
      <w:proofErr w:type="spellEnd"/>
      <w:r>
        <w:rPr>
          <w:sz w:val="22"/>
          <w:szCs w:val="22"/>
        </w:rPr>
        <w:t xml:space="preserve"> TRP relative to </w:t>
      </w:r>
      <w:r w:rsidRPr="00715C52">
        <w:rPr>
          <w:i/>
          <w:iCs/>
          <w:sz w:val="22"/>
          <w:szCs w:val="22"/>
        </w:rPr>
        <w:t>the serving cell</w:t>
      </w:r>
      <w:r>
        <w:rPr>
          <w:sz w:val="22"/>
          <w:szCs w:val="22"/>
        </w:rPr>
        <w:t xml:space="preserve"> of the UE. Here, the UE no longer has its own frequency offset, but rather</w:t>
      </w:r>
      <w:r w:rsidR="00064144">
        <w:rPr>
          <w:sz w:val="22"/>
          <w:szCs w:val="22"/>
        </w:rPr>
        <w:t xml:space="preserve"> it tracks</w:t>
      </w:r>
      <w:r>
        <w:rPr>
          <w:sz w:val="22"/>
          <w:szCs w:val="22"/>
        </w:rPr>
        <w:t xml:space="preserve"> </w:t>
      </w:r>
      <w:r w:rsidRPr="00007CDC">
        <w:rPr>
          <w:i/>
          <w:iCs/>
          <w:sz w:val="22"/>
          <w:szCs w:val="22"/>
        </w:rPr>
        <w:t>the frequency offset of its serving cell</w:t>
      </w:r>
      <w:r>
        <w:rPr>
          <w:sz w:val="22"/>
          <w:szCs w:val="22"/>
        </w:rPr>
        <w:t>.  The corresponding symbol-to-symbol phase rotation is given by</w:t>
      </w:r>
    </w:p>
    <w:p w14:paraId="7DF925B0" w14:textId="115125DF" w:rsidR="00105DEF" w:rsidRPr="00007CDC" w:rsidRDefault="00105DEF" w:rsidP="00007CDC">
      <w:pPr>
        <w:spacing w:after="120"/>
        <w:jc w:val="center"/>
        <w:rPr>
          <w:sz w:val="22"/>
          <w:szCs w:val="22"/>
        </w:rPr>
      </w:pPr>
      <m:oMathPara>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r>
            <w:rPr>
              <w:rFonts w:ascii="Cambria Math" w:hAnsi="Cambria Math"/>
              <w:sz w:val="22"/>
              <w:szCs w:val="22"/>
            </w:rPr>
            <m:t xml:space="preserve">=2 π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l,UE</m:t>
              </m:r>
            </m:sub>
          </m:sSub>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0.001</m:t>
              </m:r>
            </m:num>
            <m:den>
              <m:r>
                <w:rPr>
                  <w:rFonts w:ascii="Cambria Math" w:hAnsi="Cambria Math"/>
                  <w:sz w:val="22"/>
                  <w:szCs w:val="22"/>
                </w:rPr>
                <m:t>14</m:t>
              </m:r>
            </m:den>
          </m:f>
          <m:r>
            <w:rPr>
              <w:rFonts w:ascii="Cambria Math"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oMath>
      </m:oMathPara>
    </w:p>
    <w:p w14:paraId="6FE77877" w14:textId="58974721" w:rsidR="00007CDC" w:rsidRDefault="00007CDC" w:rsidP="001E1514">
      <w:pPr>
        <w:spacing w:after="0"/>
        <w:rPr>
          <w:sz w:val="22"/>
          <w:szCs w:val="22"/>
        </w:rPr>
      </w:pPr>
      <w:r>
        <w:rPr>
          <w:sz w:val="22"/>
          <w:szCs w:val="22"/>
        </w:rPr>
        <w:t xml:space="preserve">where </w:t>
      </w:r>
      <m:oMath>
        <m:r>
          <w:rPr>
            <w:rFonts w:ascii="Cambria Math" w:hAnsi="Cambria Math"/>
            <w:sz w:val="22"/>
            <w:szCs w:val="22"/>
          </w:rPr>
          <m:t>μ</m:t>
        </m:r>
      </m:oMath>
      <w:r>
        <w:rPr>
          <w:sz w:val="22"/>
          <w:szCs w:val="22"/>
        </w:rPr>
        <w:t xml:space="preserve"> = 0, 1, 2, and 3 for subcarrier spacings of 15, 30, 60, and 120 kHz, respectively. With a maximum frequency error of 0.1 ppm, the </w:t>
      </w:r>
      <w:r w:rsidR="007516D9">
        <w:rPr>
          <w:sz w:val="22"/>
          <w:szCs w:val="22"/>
        </w:rPr>
        <w:t>worst-case</w:t>
      </w:r>
      <w:r>
        <w:rPr>
          <w:sz w:val="22"/>
          <w:szCs w:val="22"/>
        </w:rPr>
        <w:t xml:space="preserve"> symbol-to-symbol phase rotation</w:t>
      </w:r>
      <w:r w:rsidR="007516D9">
        <w:rPr>
          <w:sz w:val="22"/>
          <w:szCs w:val="22"/>
        </w:rPr>
        <w:t xml:space="preserve"> (in degrees)</w:t>
      </w:r>
      <w:r>
        <w:rPr>
          <w:sz w:val="22"/>
          <w:szCs w:val="22"/>
        </w:rPr>
        <w:t xml:space="preserve"> is given by</w:t>
      </w:r>
    </w:p>
    <w:p w14:paraId="25E7AC54" w14:textId="6E0B2F36" w:rsidR="00007CDC" w:rsidRPr="00007CDC" w:rsidRDefault="00007CDC" w:rsidP="00007CDC">
      <w:pPr>
        <w:spacing w:after="120"/>
        <w:jc w:val="center"/>
        <w:rPr>
          <w:sz w:val="22"/>
          <w:szCs w:val="22"/>
        </w:rPr>
      </w:pPr>
      <m:oMathPara>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r>
            <w:rPr>
              <w:rFonts w:ascii="Cambria Math" w:hAnsi="Cambria Math"/>
              <w:sz w:val="22"/>
              <w:szCs w:val="22"/>
            </w:rPr>
            <m:t xml:space="preserve">=360 </m:t>
          </m:r>
          <m:d>
            <m:dPr>
              <m:ctrlPr>
                <w:rPr>
                  <w:rFonts w:ascii="Cambria Math" w:hAnsi="Cambria Math"/>
                  <w:i/>
                  <w:sz w:val="22"/>
                  <w:szCs w:val="22"/>
                </w:rPr>
              </m:ctrlPr>
            </m:dPr>
            <m:e>
              <m:r>
                <w:rPr>
                  <w:rFonts w:ascii="Cambria Math" w:hAnsi="Cambria Math"/>
                  <w:sz w:val="22"/>
                  <w:szCs w:val="22"/>
                </w:rPr>
                <m:t xml:space="preserve">2 </m:t>
              </m:r>
              <m:sSup>
                <m:sSupPr>
                  <m:ctrlPr>
                    <w:rPr>
                      <w:rFonts w:ascii="Cambria Math" w:eastAsiaTheme="minorEastAsia" w:hAnsi="Cambria Math"/>
                      <w:sz w:val="22"/>
                      <w:szCs w:val="22"/>
                    </w:rPr>
                  </m:ctrlPr>
                </m:sSupPr>
                <m:e>
                  <m:r>
                    <m:rPr>
                      <m:sty m:val="p"/>
                    </m:rP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hAnsi="Cambria Math"/>
                  <w:sz w:val="22"/>
                  <w:szCs w:val="22"/>
                </w:rPr>
                <m:t xml:space="preserve"> </m:t>
              </m:r>
              <m:sSup>
                <m:sSupPr>
                  <m:ctrlPr>
                    <w:rPr>
                      <w:rFonts w:ascii="Cambria Math" w:eastAsiaTheme="minorEastAsia" w:hAnsi="Cambria Math"/>
                      <w:sz w:val="22"/>
                      <w:szCs w:val="22"/>
                    </w:rPr>
                  </m:ctrlPr>
                </m:sSupPr>
                <m:e>
                  <m:r>
                    <m:rPr>
                      <m:sty m:val="p"/>
                    </m:rPr>
                    <w:rPr>
                      <w:rFonts w:ascii="Cambria Math" w:eastAsiaTheme="minorEastAsia" w:hAnsi="Cambria Math"/>
                      <w:sz w:val="22"/>
                      <w:szCs w:val="22"/>
                    </w:rPr>
                    <m:t>10</m:t>
                  </m:r>
                </m:e>
                <m:sup>
                  <m:r>
                    <w:rPr>
                      <w:rFonts w:ascii="Cambria Math" w:eastAsiaTheme="minorEastAsia" w:hAnsi="Cambria Math"/>
                      <w:sz w:val="22"/>
                      <w:szCs w:val="22"/>
                    </w:rPr>
                    <m:t>9</m:t>
                  </m:r>
                </m:sup>
              </m:s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e>
          </m:d>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0.001</m:t>
              </m:r>
            </m:num>
            <m:den>
              <m:r>
                <w:rPr>
                  <w:rFonts w:ascii="Cambria Math" w:hAnsi="Cambria Math"/>
                  <w:sz w:val="22"/>
                  <w:szCs w:val="22"/>
                </w:rPr>
                <m:t>14</m:t>
              </m:r>
            </m:den>
          </m:f>
          <m:r>
            <w:rPr>
              <w:rFonts w:ascii="Cambria Math"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w:bookmarkStart w:id="2" w:name="_Hlk166237519"/>
          <m:r>
            <w:rPr>
              <w:rFonts w:ascii="Cambria Math" w:hAnsi="Cambria Math"/>
              <w:sz w:val="22"/>
              <w:szCs w:val="22"/>
            </w:rPr>
            <m:t xml:space="preserve">=5.1 </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r>
            <w:rPr>
              <w:rFonts w:ascii="Cambria Math" w:hAnsi="Cambria Math"/>
              <w:sz w:val="22"/>
              <w:szCs w:val="22"/>
            </w:rPr>
            <m:t xml:space="preserve"> (</m:t>
          </m:r>
          <m:r>
            <m:rPr>
              <m:sty m:val="p"/>
            </m:rPr>
            <w:rPr>
              <w:rFonts w:ascii="Cambria Math" w:hAnsi="Cambria Math"/>
              <w:sz w:val="22"/>
              <w:szCs w:val="22"/>
            </w:rPr>
            <m:t>degrees/symbol</m:t>
          </m:r>
          <m:r>
            <w:rPr>
              <w:rFonts w:ascii="Cambria Math" w:hAnsi="Cambria Math"/>
              <w:sz w:val="22"/>
              <w:szCs w:val="22"/>
            </w:rPr>
            <m:t>)</m:t>
          </m:r>
        </m:oMath>
      </m:oMathPara>
      <w:bookmarkEnd w:id="2"/>
    </w:p>
    <w:p w14:paraId="45FF1345" w14:textId="74A82242" w:rsidR="00105DEF" w:rsidRDefault="00170B5A" w:rsidP="00093D4E">
      <w:pPr>
        <w:spacing w:after="120"/>
        <w:jc w:val="both"/>
        <w:rPr>
          <w:sz w:val="22"/>
          <w:szCs w:val="22"/>
        </w:rPr>
      </w:pPr>
      <w:r>
        <w:rPr>
          <w:sz w:val="22"/>
          <w:szCs w:val="22"/>
        </w:rPr>
        <w:t>w</w:t>
      </w:r>
      <w:r w:rsidR="007516D9">
        <w:rPr>
          <w:sz w:val="22"/>
          <w:szCs w:val="22"/>
        </w:rPr>
        <w:t>here</w:t>
      </w:r>
      <w:r>
        <w:rPr>
          <w:sz w:val="22"/>
          <w:szCs w:val="22"/>
        </w:rPr>
        <w:t xml:space="preserve"> the carrier frequency</w:t>
      </w:r>
      <w:r w:rsidR="007516D9">
        <w:rPr>
          <w:sz w:val="22"/>
          <w:szCs w:val="22"/>
        </w:rPr>
        <w:t xml:space="preserve">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oMath>
      <w:r>
        <w:rPr>
          <w:sz w:val="22"/>
          <w:szCs w:val="22"/>
        </w:rPr>
        <w:t xml:space="preserve"> is expressed in GHz and the</w:t>
      </w:r>
      <w:r w:rsidR="007516D9">
        <w:rPr>
          <w:sz w:val="22"/>
          <w:szCs w:val="22"/>
        </w:rPr>
        <w:t xml:space="preserve"> factor of 2 inside the parentheses is </w:t>
      </w:r>
      <w:proofErr w:type="gramStart"/>
      <w:r w:rsidR="007516D9">
        <w:rPr>
          <w:sz w:val="22"/>
          <w:szCs w:val="22"/>
        </w:rPr>
        <w:t>due to the fact that</w:t>
      </w:r>
      <w:proofErr w:type="gramEnd"/>
      <w:r w:rsidR="007516D9">
        <w:rPr>
          <w:sz w:val="22"/>
          <w:szCs w:val="22"/>
        </w:rPr>
        <w:t xml:space="preserve"> the </w:t>
      </w:r>
      <w:r>
        <w:rPr>
          <w:sz w:val="22"/>
          <w:szCs w:val="22"/>
        </w:rPr>
        <w:t>frequency errors of the serving cell and the</w:t>
      </w:r>
      <w:r w:rsidR="007516D9">
        <w:rPr>
          <w:sz w:val="22"/>
          <w:szCs w:val="22"/>
        </w:rPr>
        <w:t xml:space="preserve"> TRP transmitting</w:t>
      </w:r>
      <w:r w:rsidR="008A67CA">
        <w:rPr>
          <w:sz w:val="22"/>
          <w:szCs w:val="22"/>
        </w:rPr>
        <w:t xml:space="preserve"> DL-PRS</w:t>
      </w:r>
      <w:r w:rsidR="007516D9">
        <w:rPr>
          <w:sz w:val="22"/>
          <w:szCs w:val="22"/>
        </w:rPr>
        <w:t xml:space="preserve"> may have opposite signs.</w:t>
      </w:r>
      <w:r w:rsidR="001E1514">
        <w:rPr>
          <w:sz w:val="22"/>
          <w:szCs w:val="22"/>
        </w:rPr>
        <w:t xml:space="preserve"> For a subcarrier spacing of 15 kHz</w:t>
      </w:r>
      <w:r w:rsidR="00093D4E">
        <w:rPr>
          <w:sz w:val="22"/>
          <w:szCs w:val="22"/>
        </w:rPr>
        <w:t xml:space="preserve"> and a </w:t>
      </w:r>
      <w:r w:rsidR="00093D4E" w:rsidRPr="00093D4E">
        <w:rPr>
          <w:i/>
          <w:iCs/>
          <w:sz w:val="22"/>
          <w:szCs w:val="22"/>
        </w:rPr>
        <w:t>carrier frequency of 1 GHz</w:t>
      </w:r>
      <w:r w:rsidR="001E1514">
        <w:rPr>
          <w:sz w:val="22"/>
          <w:szCs w:val="22"/>
        </w:rPr>
        <w:t xml:space="preserve">, the maximum phase change from the </w:t>
      </w:r>
      <w:r w:rsidR="00945BE0">
        <w:rPr>
          <w:sz w:val="22"/>
          <w:szCs w:val="22"/>
        </w:rPr>
        <w:t>first symbol of the slot to the last</w:t>
      </w:r>
      <w:r w:rsidR="001E1514">
        <w:rPr>
          <w:sz w:val="22"/>
          <w:szCs w:val="22"/>
        </w:rPr>
        <w:t xml:space="preserve"> is given by</w:t>
      </w:r>
    </w:p>
    <w:p w14:paraId="22B4FE4F" w14:textId="2A57496B" w:rsidR="001E1514" w:rsidRDefault="001E1514" w:rsidP="001E1514">
      <w:pPr>
        <w:spacing w:after="120"/>
        <w:jc w:val="center"/>
        <w:rPr>
          <w:sz w:val="22"/>
          <w:szCs w:val="22"/>
        </w:rPr>
      </w:pPr>
      <w:r>
        <w:rPr>
          <w:sz w:val="22"/>
          <w:szCs w:val="22"/>
        </w:rPr>
        <w:t xml:space="preserve">maximum phase change over slot </w:t>
      </w:r>
      <m:oMath>
        <m:r>
          <w:rPr>
            <w:rFonts w:ascii="Cambria Math" w:hAnsi="Cambria Math"/>
            <w:sz w:val="22"/>
            <w:szCs w:val="22"/>
          </w:rPr>
          <m:t>=13 ∙ 5.1∙</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r>
          <m:rPr>
            <m:sty m:val="bi"/>
          </m:rPr>
          <w:rPr>
            <w:rFonts w:ascii="Cambria Math" w:hAnsi="Cambria Math"/>
            <w:sz w:val="22"/>
            <w:szCs w:val="22"/>
          </w:rPr>
          <m:t xml:space="preserve">66.3 </m:t>
        </m:r>
        <m:sSub>
          <m:sSubPr>
            <m:ctrlPr>
              <w:rPr>
                <w:rFonts w:ascii="Cambria Math" w:hAnsi="Cambria Math"/>
                <w:b/>
                <w:bCs/>
                <w:i/>
                <w:sz w:val="22"/>
                <w:szCs w:val="22"/>
              </w:rPr>
            </m:ctrlPr>
          </m:sSubPr>
          <m:e>
            <m:r>
              <m:rPr>
                <m:sty m:val="bi"/>
              </m:rPr>
              <w:rPr>
                <w:rFonts w:ascii="Cambria Math" w:hAnsi="Cambria Math"/>
                <w:sz w:val="22"/>
                <w:szCs w:val="22"/>
              </w:rPr>
              <m:t>f</m:t>
            </m:r>
          </m:e>
          <m:sub>
            <m:r>
              <m:rPr>
                <m:sty m:val="bi"/>
              </m:rPr>
              <w:rPr>
                <w:rFonts w:ascii="Cambria Math" w:hAnsi="Cambria Math"/>
                <w:sz w:val="22"/>
                <w:szCs w:val="22"/>
              </w:rPr>
              <m:t>c</m:t>
            </m:r>
          </m:sub>
        </m:sSub>
        <m:r>
          <w:rPr>
            <w:rFonts w:ascii="Cambria Math" w:hAnsi="Cambria Math"/>
            <w:sz w:val="22"/>
            <w:szCs w:val="22"/>
          </w:rPr>
          <m:t xml:space="preserve">  (</m:t>
        </m:r>
        <m:r>
          <m:rPr>
            <m:sty m:val="p"/>
          </m:rPr>
          <w:rPr>
            <w:rFonts w:ascii="Cambria Math" w:hAnsi="Cambria Math"/>
            <w:sz w:val="22"/>
            <w:szCs w:val="22"/>
          </w:rPr>
          <m:t>degrees</m:t>
        </m:r>
        <m:r>
          <w:rPr>
            <w:rFonts w:ascii="Cambria Math" w:hAnsi="Cambria Math"/>
            <w:sz w:val="22"/>
            <w:szCs w:val="22"/>
          </w:rPr>
          <m:t>)</m:t>
        </m:r>
      </m:oMath>
    </w:p>
    <w:p w14:paraId="1010BB08" w14:textId="6260DCA0" w:rsidR="00105DEF" w:rsidRDefault="000B437E" w:rsidP="00972F1D">
      <w:pPr>
        <w:spacing w:after="120"/>
        <w:jc w:val="both"/>
        <w:rPr>
          <w:sz w:val="22"/>
          <w:szCs w:val="22"/>
        </w:rPr>
      </w:pPr>
      <w:r>
        <w:rPr>
          <w:sz w:val="22"/>
          <w:szCs w:val="22"/>
        </w:rPr>
        <w:t>Thus</w:t>
      </w:r>
      <w:r w:rsidR="001E1514">
        <w:rPr>
          <w:sz w:val="22"/>
          <w:szCs w:val="22"/>
        </w:rPr>
        <w:t xml:space="preserve">, the maximum phase change </w:t>
      </w:r>
      <w:r w:rsidR="00945BE0">
        <w:rPr>
          <w:sz w:val="22"/>
          <w:szCs w:val="22"/>
        </w:rPr>
        <w:t>from the first symbols of the slot to the last</w:t>
      </w:r>
      <w:r w:rsidR="001E1514">
        <w:rPr>
          <w:sz w:val="22"/>
          <w:szCs w:val="22"/>
        </w:rPr>
        <w:t xml:space="preserve"> is </w:t>
      </w:r>
      <w:r w:rsidR="0067799E">
        <w:rPr>
          <w:i/>
          <w:iCs/>
          <w:sz w:val="22"/>
          <w:szCs w:val="22"/>
        </w:rPr>
        <w:t>66</w:t>
      </w:r>
      <w:r w:rsidR="00364A9B" w:rsidRPr="00364A9B">
        <w:rPr>
          <w:i/>
          <w:iCs/>
          <w:sz w:val="22"/>
          <w:szCs w:val="22"/>
        </w:rPr>
        <w:t xml:space="preserve"> degrees for 1 GHz, 1</w:t>
      </w:r>
      <w:r w:rsidR="0067799E">
        <w:rPr>
          <w:i/>
          <w:iCs/>
          <w:sz w:val="22"/>
          <w:szCs w:val="22"/>
        </w:rPr>
        <w:t>3</w:t>
      </w:r>
      <w:r w:rsidR="004E718B">
        <w:rPr>
          <w:i/>
          <w:iCs/>
          <w:sz w:val="22"/>
          <w:szCs w:val="22"/>
        </w:rPr>
        <w:t>3</w:t>
      </w:r>
      <w:r w:rsidR="00364A9B" w:rsidRPr="00364A9B">
        <w:rPr>
          <w:i/>
          <w:iCs/>
          <w:sz w:val="22"/>
          <w:szCs w:val="22"/>
        </w:rPr>
        <w:t xml:space="preserve"> deg</w:t>
      </w:r>
      <w:r w:rsidR="005061DA">
        <w:rPr>
          <w:i/>
          <w:iCs/>
          <w:sz w:val="22"/>
          <w:szCs w:val="22"/>
        </w:rPr>
        <w:t>r</w:t>
      </w:r>
      <w:r w:rsidR="00364A9B" w:rsidRPr="00364A9B">
        <w:rPr>
          <w:i/>
          <w:iCs/>
          <w:sz w:val="22"/>
          <w:szCs w:val="22"/>
        </w:rPr>
        <w:t xml:space="preserve">ees for 2 GHz, and </w:t>
      </w:r>
      <w:r w:rsidR="0067799E">
        <w:rPr>
          <w:i/>
          <w:iCs/>
          <w:sz w:val="22"/>
          <w:szCs w:val="22"/>
        </w:rPr>
        <w:t>199</w:t>
      </w:r>
      <w:r w:rsidR="00364A9B" w:rsidRPr="00364A9B">
        <w:rPr>
          <w:i/>
          <w:iCs/>
          <w:sz w:val="22"/>
          <w:szCs w:val="22"/>
        </w:rPr>
        <w:t xml:space="preserve"> degrees for 3 GHz</w:t>
      </w:r>
      <w:r w:rsidR="00364A9B">
        <w:rPr>
          <w:sz w:val="22"/>
          <w:szCs w:val="22"/>
        </w:rPr>
        <w:t>.</w:t>
      </w:r>
    </w:p>
    <w:p w14:paraId="3E21B3B8" w14:textId="7BE2905F" w:rsidR="005D2C39" w:rsidRPr="005D2C39" w:rsidRDefault="005D2C39" w:rsidP="008A7A21">
      <w:pPr>
        <w:spacing w:after="120"/>
        <w:ind w:left="1440" w:hanging="1440"/>
        <w:jc w:val="both"/>
        <w:rPr>
          <w:sz w:val="22"/>
          <w:szCs w:val="22"/>
        </w:rPr>
      </w:pPr>
      <w:r w:rsidRPr="005D2C39">
        <w:rPr>
          <w:b/>
          <w:bCs/>
          <w:sz w:val="22"/>
          <w:szCs w:val="22"/>
        </w:rPr>
        <w:t>Observation 1:</w:t>
      </w:r>
      <w:r w:rsidR="008A7A21">
        <w:rPr>
          <w:b/>
          <w:bCs/>
          <w:sz w:val="22"/>
          <w:szCs w:val="22"/>
        </w:rPr>
        <w:tab/>
      </w:r>
      <w:r>
        <w:rPr>
          <w:sz w:val="22"/>
          <w:szCs w:val="22"/>
        </w:rPr>
        <w:t xml:space="preserve">For a subcarrier spacing of 15 kHz, the </w:t>
      </w:r>
      <w:r w:rsidR="008A7A21">
        <w:rPr>
          <w:sz w:val="22"/>
          <w:szCs w:val="22"/>
        </w:rPr>
        <w:t xml:space="preserve">maximum phase change </w:t>
      </w:r>
      <w:r w:rsidR="00945BE0">
        <w:rPr>
          <w:sz w:val="22"/>
          <w:szCs w:val="22"/>
        </w:rPr>
        <w:t>from the first symbol of the slot to the last</w:t>
      </w:r>
      <w:r w:rsidR="008A7A21" w:rsidRPr="008A7A21">
        <w:rPr>
          <w:sz w:val="22"/>
          <w:szCs w:val="22"/>
        </w:rPr>
        <w:t xml:space="preserve"> </w:t>
      </w:r>
      <w:r w:rsidR="008A7A21">
        <w:rPr>
          <w:sz w:val="22"/>
          <w:szCs w:val="22"/>
        </w:rPr>
        <w:t xml:space="preserve">is </w:t>
      </w:r>
      <w:r w:rsidR="00945BE0">
        <w:rPr>
          <w:i/>
          <w:iCs/>
          <w:sz w:val="22"/>
          <w:szCs w:val="22"/>
        </w:rPr>
        <w:t>66</w:t>
      </w:r>
      <w:r w:rsidR="004E718B" w:rsidRPr="00364A9B">
        <w:rPr>
          <w:i/>
          <w:iCs/>
          <w:sz w:val="22"/>
          <w:szCs w:val="22"/>
        </w:rPr>
        <w:t xml:space="preserve"> degrees for 1 GHz, </w:t>
      </w:r>
      <w:r w:rsidR="00945BE0">
        <w:rPr>
          <w:i/>
          <w:iCs/>
          <w:sz w:val="22"/>
          <w:szCs w:val="22"/>
        </w:rPr>
        <w:t>133</w:t>
      </w:r>
      <w:r w:rsidR="004E718B" w:rsidRPr="00364A9B">
        <w:rPr>
          <w:i/>
          <w:iCs/>
          <w:sz w:val="22"/>
          <w:szCs w:val="22"/>
        </w:rPr>
        <w:t xml:space="preserve"> </w:t>
      </w:r>
      <w:proofErr w:type="spellStart"/>
      <w:r w:rsidR="004E718B" w:rsidRPr="00364A9B">
        <w:rPr>
          <w:i/>
          <w:iCs/>
          <w:sz w:val="22"/>
          <w:szCs w:val="22"/>
        </w:rPr>
        <w:t>degees</w:t>
      </w:r>
      <w:proofErr w:type="spellEnd"/>
      <w:r w:rsidR="004E718B" w:rsidRPr="00364A9B">
        <w:rPr>
          <w:i/>
          <w:iCs/>
          <w:sz w:val="22"/>
          <w:szCs w:val="22"/>
        </w:rPr>
        <w:t xml:space="preserve"> for 2 GHz, and </w:t>
      </w:r>
      <w:r w:rsidR="00945BE0">
        <w:rPr>
          <w:i/>
          <w:iCs/>
          <w:sz w:val="22"/>
          <w:szCs w:val="22"/>
        </w:rPr>
        <w:t>199</w:t>
      </w:r>
      <w:r w:rsidR="004E718B" w:rsidRPr="00364A9B">
        <w:rPr>
          <w:i/>
          <w:iCs/>
          <w:sz w:val="22"/>
          <w:szCs w:val="22"/>
        </w:rPr>
        <w:t xml:space="preserve"> degrees for 3 GHz</w:t>
      </w:r>
      <w:r w:rsidR="008A7A21">
        <w:rPr>
          <w:sz w:val="22"/>
          <w:szCs w:val="22"/>
        </w:rPr>
        <w:t>.</w:t>
      </w:r>
    </w:p>
    <w:p w14:paraId="7F29FE92" w14:textId="306A8F38" w:rsidR="00364A9B" w:rsidRDefault="00364A9B" w:rsidP="005D2C39">
      <w:pPr>
        <w:spacing w:after="120"/>
        <w:jc w:val="both"/>
        <w:rPr>
          <w:sz w:val="22"/>
          <w:szCs w:val="22"/>
        </w:rPr>
      </w:pPr>
      <w:r>
        <w:rPr>
          <w:sz w:val="22"/>
          <w:szCs w:val="22"/>
        </w:rPr>
        <w:t xml:space="preserve">Given that the carrier phase can change by over </w:t>
      </w:r>
      <w:r w:rsidR="000B437E">
        <w:rPr>
          <w:sz w:val="22"/>
          <w:szCs w:val="22"/>
        </w:rPr>
        <w:t>many 10’s of</w:t>
      </w:r>
      <w:r>
        <w:rPr>
          <w:sz w:val="22"/>
          <w:szCs w:val="22"/>
        </w:rPr>
        <w:t xml:space="preserve"> degrees over the slot, how should carrier phase be defined for a UE taking a carrier phase measurement?</w:t>
      </w:r>
      <w:r w:rsidR="0067799E">
        <w:rPr>
          <w:sz w:val="22"/>
          <w:szCs w:val="22"/>
        </w:rPr>
        <w:t xml:space="preserve"> There are several possibilities, and these include at least</w:t>
      </w:r>
    </w:p>
    <w:p w14:paraId="0BC0F6EE" w14:textId="2A4AA3E1" w:rsidR="005D2C39" w:rsidRDefault="005D2C39" w:rsidP="005D2C39">
      <w:pPr>
        <w:pStyle w:val="ListParagraph"/>
        <w:numPr>
          <w:ilvl w:val="0"/>
          <w:numId w:val="42"/>
        </w:numPr>
        <w:spacing w:after="60"/>
        <w:contextualSpacing w:val="0"/>
        <w:jc w:val="both"/>
        <w:rPr>
          <w:sz w:val="22"/>
          <w:szCs w:val="22"/>
        </w:rPr>
      </w:pPr>
      <w:r>
        <w:rPr>
          <w:sz w:val="22"/>
          <w:szCs w:val="22"/>
        </w:rPr>
        <w:t>The carrier phase at the start of the slot</w:t>
      </w:r>
      <w:r w:rsidR="0067799E">
        <w:rPr>
          <w:sz w:val="22"/>
          <w:szCs w:val="22"/>
        </w:rPr>
        <w:t xml:space="preserve"> (first symbol)</w:t>
      </w:r>
    </w:p>
    <w:p w14:paraId="4D2F4135" w14:textId="06BFB3C9" w:rsidR="005D2C39" w:rsidRDefault="005D2C39" w:rsidP="005D2C39">
      <w:pPr>
        <w:pStyle w:val="ListParagraph"/>
        <w:numPr>
          <w:ilvl w:val="0"/>
          <w:numId w:val="42"/>
        </w:numPr>
        <w:spacing w:after="60"/>
        <w:contextualSpacing w:val="0"/>
        <w:jc w:val="both"/>
        <w:rPr>
          <w:sz w:val="22"/>
          <w:szCs w:val="22"/>
        </w:rPr>
      </w:pPr>
      <w:r>
        <w:rPr>
          <w:sz w:val="22"/>
          <w:szCs w:val="22"/>
        </w:rPr>
        <w:t>The carrier phase in the middle of the slot</w:t>
      </w:r>
    </w:p>
    <w:p w14:paraId="113D713D" w14:textId="0B70F3ED" w:rsidR="00C40BD5" w:rsidRDefault="005D2C39" w:rsidP="005D2C39">
      <w:pPr>
        <w:pStyle w:val="ListParagraph"/>
        <w:numPr>
          <w:ilvl w:val="0"/>
          <w:numId w:val="42"/>
        </w:numPr>
        <w:spacing w:after="120"/>
        <w:contextualSpacing w:val="0"/>
        <w:jc w:val="both"/>
        <w:rPr>
          <w:sz w:val="22"/>
          <w:szCs w:val="22"/>
        </w:rPr>
      </w:pPr>
      <w:r>
        <w:rPr>
          <w:sz w:val="22"/>
          <w:szCs w:val="22"/>
        </w:rPr>
        <w:t>The average carrier phase over the slot</w:t>
      </w:r>
    </w:p>
    <w:p w14:paraId="53C5986B" w14:textId="7522A2FE" w:rsidR="00CA6ECE" w:rsidRPr="006660DD" w:rsidRDefault="00030A8C" w:rsidP="006660DD">
      <w:pPr>
        <w:spacing w:after="120"/>
        <w:ind w:left="1080" w:hanging="1080"/>
        <w:jc w:val="both"/>
        <w:rPr>
          <w:sz w:val="22"/>
          <w:szCs w:val="22"/>
        </w:rPr>
      </w:pPr>
      <w:r w:rsidRPr="00030A8C">
        <w:rPr>
          <w:b/>
          <w:bCs/>
          <w:sz w:val="22"/>
          <w:szCs w:val="22"/>
        </w:rPr>
        <w:t>Proposal 1:</w:t>
      </w:r>
      <w:r>
        <w:rPr>
          <w:b/>
          <w:bCs/>
          <w:sz w:val="22"/>
          <w:szCs w:val="22"/>
        </w:rPr>
        <w:tab/>
      </w:r>
      <w:r>
        <w:rPr>
          <w:sz w:val="22"/>
          <w:szCs w:val="22"/>
        </w:rPr>
        <w:t>The carrier phase definition should be clarified to indicate the carrier phase is defined at a specific location within the slot.</w:t>
      </w:r>
    </w:p>
    <w:p w14:paraId="31A84365" w14:textId="3FDE71EE" w:rsidR="00C40BD5" w:rsidRPr="00B75557" w:rsidRDefault="00C40BD5" w:rsidP="005D2C39">
      <w:pPr>
        <w:spacing w:after="120"/>
        <w:jc w:val="both"/>
        <w:rPr>
          <w:b/>
          <w:bCs/>
          <w:i/>
          <w:iCs/>
          <w:sz w:val="22"/>
          <w:szCs w:val="22"/>
        </w:rPr>
      </w:pPr>
      <w:r w:rsidRPr="00B75557">
        <w:rPr>
          <w:b/>
          <w:bCs/>
          <w:i/>
          <w:iCs/>
          <w:sz w:val="22"/>
          <w:szCs w:val="22"/>
        </w:rPr>
        <w:t>Reporting</w:t>
      </w:r>
      <w:r w:rsidR="00B75557" w:rsidRPr="00B75557">
        <w:rPr>
          <w:b/>
          <w:bCs/>
          <w:i/>
          <w:iCs/>
          <w:sz w:val="22"/>
          <w:szCs w:val="22"/>
        </w:rPr>
        <w:t xml:space="preserve"> of Carrier Phase</w:t>
      </w:r>
    </w:p>
    <w:p w14:paraId="39BD9CB8" w14:textId="56F6802F" w:rsidR="00B75557" w:rsidRPr="00030A8C" w:rsidRDefault="00C40BD5" w:rsidP="008C75E3">
      <w:pPr>
        <w:spacing w:after="0"/>
        <w:jc w:val="both"/>
        <w:rPr>
          <w:sz w:val="22"/>
          <w:szCs w:val="22"/>
        </w:rPr>
      </w:pPr>
      <w:r>
        <w:rPr>
          <w:sz w:val="22"/>
          <w:szCs w:val="22"/>
        </w:rPr>
        <w:t xml:space="preserve">When the UE reports carrier phase, it also reports the </w:t>
      </w:r>
      <w:r w:rsidR="0067799E">
        <w:rPr>
          <w:sz w:val="22"/>
          <w:szCs w:val="22"/>
        </w:rPr>
        <w:t xml:space="preserve">time </w:t>
      </w:r>
      <w:r>
        <w:rPr>
          <w:sz w:val="22"/>
          <w:szCs w:val="22"/>
        </w:rPr>
        <w:t xml:space="preserve">slot in which the measurement is taken. </w:t>
      </w:r>
      <w:r w:rsidR="00093D4E">
        <w:rPr>
          <w:sz w:val="22"/>
          <w:szCs w:val="22"/>
        </w:rPr>
        <w:t>As shown above</w:t>
      </w:r>
      <w:r w:rsidR="00744EE5">
        <w:rPr>
          <w:sz w:val="22"/>
          <w:szCs w:val="22"/>
        </w:rPr>
        <w:t xml:space="preserve">, there </w:t>
      </w:r>
      <w:r w:rsidR="00744EE5" w:rsidRPr="00B75557">
        <w:rPr>
          <w:i/>
          <w:iCs/>
          <w:sz w:val="22"/>
          <w:szCs w:val="22"/>
        </w:rPr>
        <w:t>is a large uncertainty in the measurement</w:t>
      </w:r>
      <w:r w:rsidR="00744EE5">
        <w:rPr>
          <w:sz w:val="22"/>
          <w:szCs w:val="22"/>
        </w:rPr>
        <w:t xml:space="preserve"> depending</w:t>
      </w:r>
      <w:r w:rsidR="00B75557">
        <w:rPr>
          <w:sz w:val="22"/>
          <w:szCs w:val="22"/>
        </w:rPr>
        <w:t xml:space="preserve"> on where within the slot the carrier phase is defined.  Without clarification </w:t>
      </w:r>
      <w:r w:rsidR="008C75E3">
        <w:rPr>
          <w:sz w:val="22"/>
          <w:szCs w:val="22"/>
        </w:rPr>
        <w:t xml:space="preserve">of the definition </w:t>
      </w:r>
      <w:r w:rsidR="0067799E">
        <w:rPr>
          <w:sz w:val="22"/>
          <w:szCs w:val="22"/>
        </w:rPr>
        <w:t xml:space="preserve">as </w:t>
      </w:r>
      <w:r w:rsidR="008C75E3">
        <w:rPr>
          <w:sz w:val="22"/>
          <w:szCs w:val="22"/>
        </w:rPr>
        <w:t>proposed above</w:t>
      </w:r>
      <w:r w:rsidR="00B75557" w:rsidRPr="00272394">
        <w:rPr>
          <w:sz w:val="22"/>
          <w:szCs w:val="22"/>
        </w:rPr>
        <w:t>, the carrier phase difference</w:t>
      </w:r>
      <w:r w:rsidR="00B75557">
        <w:rPr>
          <w:sz w:val="22"/>
          <w:szCs w:val="22"/>
        </w:rPr>
        <w:t xml:space="preserve"> computed from the carrier phase measurements of the UE and the PRU, </w:t>
      </w:r>
      <w:r w:rsidR="0067799E" w:rsidRPr="0067799E">
        <w:rPr>
          <w:i/>
          <w:iCs/>
          <w:sz w:val="22"/>
          <w:szCs w:val="22"/>
        </w:rPr>
        <w:t>even though</w:t>
      </w:r>
      <w:r w:rsidR="0067799E">
        <w:rPr>
          <w:sz w:val="22"/>
          <w:szCs w:val="22"/>
        </w:rPr>
        <w:t xml:space="preserve"> </w:t>
      </w:r>
      <w:r w:rsidR="00B75557" w:rsidRPr="00B75557">
        <w:rPr>
          <w:i/>
          <w:iCs/>
          <w:sz w:val="22"/>
          <w:szCs w:val="22"/>
        </w:rPr>
        <w:t>taken in the same slot</w:t>
      </w:r>
      <w:r w:rsidR="00B75557">
        <w:rPr>
          <w:sz w:val="22"/>
          <w:szCs w:val="22"/>
        </w:rPr>
        <w:t xml:space="preserve">, can have a </w:t>
      </w:r>
      <w:r w:rsidR="00B75557" w:rsidRPr="0067799E">
        <w:rPr>
          <w:sz w:val="22"/>
          <w:szCs w:val="22"/>
        </w:rPr>
        <w:t xml:space="preserve">very large error due to the UE and the PRU </w:t>
      </w:r>
      <w:r w:rsidR="008C75E3" w:rsidRPr="0067799E">
        <w:rPr>
          <w:sz w:val="22"/>
          <w:szCs w:val="22"/>
        </w:rPr>
        <w:t>defining the carrier phase at different locations within the slot</w:t>
      </w:r>
      <w:r w:rsidR="00B75557" w:rsidRPr="0067799E">
        <w:rPr>
          <w:sz w:val="22"/>
          <w:szCs w:val="22"/>
        </w:rPr>
        <w:t>.</w:t>
      </w:r>
      <w:r w:rsidR="00B75557">
        <w:rPr>
          <w:sz w:val="22"/>
          <w:szCs w:val="22"/>
        </w:rPr>
        <w:t xml:space="preserve"> Th</w:t>
      </w:r>
      <w:r w:rsidR="008C75E3">
        <w:rPr>
          <w:sz w:val="22"/>
          <w:szCs w:val="22"/>
        </w:rPr>
        <w:t>is</w:t>
      </w:r>
      <w:r w:rsidR="00B75557">
        <w:rPr>
          <w:sz w:val="22"/>
          <w:szCs w:val="22"/>
        </w:rPr>
        <w:t xml:space="preserve"> error can be as large as</w:t>
      </w:r>
    </w:p>
    <w:p w14:paraId="3A320700" w14:textId="324C3424" w:rsidR="00B75557" w:rsidRPr="00C40E6F" w:rsidRDefault="004E718B" w:rsidP="00B75557">
      <w:pPr>
        <w:spacing w:after="120"/>
        <w:jc w:val="both"/>
        <w:rPr>
          <w:iCs/>
          <w:sz w:val="22"/>
          <w:szCs w:val="22"/>
        </w:rPr>
      </w:pPr>
      <m:oMathPara>
        <m:oMath>
          <m:r>
            <w:rPr>
              <w:rFonts w:ascii="Cambria Math" w:hAnsi="Cambria Math"/>
              <w:sz w:val="22"/>
              <w:szCs w:val="22"/>
            </w:rPr>
            <m:t>n∙5.1∙</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 xml:space="preserve">  </m:t>
          </m:r>
          <m:r>
            <m:rPr>
              <m:sty m:val="p"/>
            </m:rPr>
            <w:rPr>
              <w:rFonts w:ascii="Cambria Math" w:hAnsi="Cambria Math"/>
              <w:sz w:val="22"/>
              <w:szCs w:val="22"/>
            </w:rPr>
            <m:t>degrees</m:t>
          </m:r>
        </m:oMath>
      </m:oMathPara>
    </w:p>
    <w:p w14:paraId="2C4361C5" w14:textId="62AE7888" w:rsidR="00B75557" w:rsidRDefault="00B75557" w:rsidP="00B75557">
      <w:pPr>
        <w:spacing w:after="120"/>
        <w:jc w:val="both"/>
        <w:rPr>
          <w:b/>
          <w:bCs/>
          <w:sz w:val="22"/>
          <w:szCs w:val="22"/>
        </w:rPr>
      </w:pPr>
      <w:r>
        <w:rPr>
          <w:iCs/>
          <w:sz w:val="22"/>
          <w:szCs w:val="22"/>
        </w:rPr>
        <w:t xml:space="preserve">where </w:t>
      </w:r>
      <w:r w:rsidRPr="00B75557">
        <w:rPr>
          <w:i/>
          <w:sz w:val="22"/>
          <w:szCs w:val="22"/>
        </w:rPr>
        <w:t>n</w:t>
      </w:r>
      <w:r>
        <w:rPr>
          <w:iCs/>
          <w:sz w:val="22"/>
          <w:szCs w:val="22"/>
        </w:rPr>
        <w:t xml:space="preserve"> is the number of symbols separating the locations used </w:t>
      </w:r>
      <w:r w:rsidR="009B2683">
        <w:rPr>
          <w:iCs/>
          <w:sz w:val="22"/>
          <w:szCs w:val="22"/>
        </w:rPr>
        <w:t xml:space="preserve">by the UE and the PRU </w:t>
      </w:r>
      <w:r>
        <w:rPr>
          <w:iCs/>
          <w:sz w:val="22"/>
          <w:szCs w:val="22"/>
        </w:rPr>
        <w:t xml:space="preserve">to define carrier phase and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oMath>
      <w:r>
        <w:rPr>
          <w:iCs/>
          <w:sz w:val="22"/>
          <w:szCs w:val="22"/>
        </w:rPr>
        <w:t xml:space="preserve"> is the carrier frequency in </w:t>
      </w:r>
      <w:r w:rsidR="009B2683">
        <w:rPr>
          <w:iCs/>
          <w:sz w:val="22"/>
          <w:szCs w:val="22"/>
        </w:rPr>
        <w:t>G</w:t>
      </w:r>
      <w:r>
        <w:rPr>
          <w:iCs/>
          <w:sz w:val="22"/>
          <w:szCs w:val="22"/>
        </w:rPr>
        <w:t>Hz.</w:t>
      </w:r>
    </w:p>
    <w:p w14:paraId="4CE035C1" w14:textId="0BA90C1D" w:rsidR="00C40BD5" w:rsidRDefault="000B437E" w:rsidP="005D2C39">
      <w:pPr>
        <w:spacing w:after="120"/>
        <w:jc w:val="both"/>
        <w:rPr>
          <w:sz w:val="22"/>
          <w:szCs w:val="22"/>
        </w:rPr>
      </w:pPr>
      <w:r>
        <w:rPr>
          <w:sz w:val="22"/>
          <w:szCs w:val="22"/>
        </w:rPr>
        <w:t xml:space="preserve">The </w:t>
      </w:r>
      <w:r w:rsidR="00B75557">
        <w:rPr>
          <w:sz w:val="22"/>
          <w:szCs w:val="22"/>
        </w:rPr>
        <w:t xml:space="preserve">UE can </w:t>
      </w:r>
      <w:r>
        <w:rPr>
          <w:sz w:val="22"/>
          <w:szCs w:val="22"/>
        </w:rPr>
        <w:t xml:space="preserve">optionally </w:t>
      </w:r>
      <w:r w:rsidR="00B75557">
        <w:rPr>
          <w:sz w:val="22"/>
          <w:szCs w:val="22"/>
        </w:rPr>
        <w:t xml:space="preserve">report the symbol in which the carrier phase measurement was taken. </w:t>
      </w:r>
      <w:r w:rsidR="009B2683">
        <w:rPr>
          <w:sz w:val="22"/>
          <w:szCs w:val="22"/>
        </w:rPr>
        <w:t xml:space="preserve">In this case, there should be no ambiguity in the </w:t>
      </w:r>
      <w:r w:rsidR="0067799E">
        <w:rPr>
          <w:sz w:val="22"/>
          <w:szCs w:val="22"/>
        </w:rPr>
        <w:t xml:space="preserve">UE’s </w:t>
      </w:r>
      <w:r w:rsidR="009B2683">
        <w:rPr>
          <w:sz w:val="22"/>
          <w:szCs w:val="22"/>
        </w:rPr>
        <w:t xml:space="preserve">definition of the carrier phase. However, </w:t>
      </w:r>
      <w:r w:rsidR="00532097">
        <w:rPr>
          <w:sz w:val="22"/>
          <w:szCs w:val="22"/>
        </w:rPr>
        <w:t>if the UE signals the symbol used for phase measurement and it is different than the symbol used for phase measurement by the PRU, then the corresponding maximum error is again given by</w:t>
      </w:r>
    </w:p>
    <w:p w14:paraId="41627240" w14:textId="77777777" w:rsidR="00532097" w:rsidRPr="00C40E6F" w:rsidRDefault="00532097" w:rsidP="00532097">
      <w:pPr>
        <w:spacing w:after="120"/>
        <w:jc w:val="both"/>
        <w:rPr>
          <w:iCs/>
          <w:sz w:val="22"/>
          <w:szCs w:val="22"/>
        </w:rPr>
      </w:pPr>
      <m:oMathPara>
        <m:oMath>
          <m:r>
            <w:rPr>
              <w:rFonts w:ascii="Cambria Math" w:hAnsi="Cambria Math"/>
              <w:sz w:val="22"/>
              <w:szCs w:val="22"/>
            </w:rPr>
            <m:t xml:space="preserve">n 5.1 </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 xml:space="preserve">  </m:t>
          </m:r>
          <m:r>
            <m:rPr>
              <m:sty m:val="p"/>
            </m:rPr>
            <w:rPr>
              <w:rFonts w:ascii="Cambria Math" w:hAnsi="Cambria Math"/>
              <w:sz w:val="22"/>
              <w:szCs w:val="22"/>
            </w:rPr>
            <m:t>degrees</m:t>
          </m:r>
        </m:oMath>
      </m:oMathPara>
    </w:p>
    <w:p w14:paraId="283E2F12" w14:textId="4569565A" w:rsidR="00CA6ECE" w:rsidRDefault="00532097" w:rsidP="005D2C39">
      <w:pPr>
        <w:spacing w:after="120"/>
        <w:jc w:val="both"/>
        <w:rPr>
          <w:sz w:val="22"/>
          <w:szCs w:val="22"/>
        </w:rPr>
      </w:pPr>
      <w:r>
        <w:rPr>
          <w:sz w:val="22"/>
          <w:szCs w:val="22"/>
        </w:rPr>
        <w:lastRenderedPageBreak/>
        <w:t xml:space="preserve">where </w:t>
      </w:r>
      <w:r w:rsidRPr="00532097">
        <w:rPr>
          <w:i/>
          <w:iCs/>
          <w:sz w:val="22"/>
          <w:szCs w:val="22"/>
        </w:rPr>
        <w:t>n</w:t>
      </w:r>
      <w:r>
        <w:rPr>
          <w:sz w:val="22"/>
          <w:szCs w:val="22"/>
        </w:rPr>
        <w:t xml:space="preserve"> is the number of symbols separating the two measurements.</w:t>
      </w:r>
    </w:p>
    <w:p w14:paraId="53D995E8" w14:textId="1286B32C" w:rsidR="00532097" w:rsidRPr="00F349ED" w:rsidRDefault="00532097" w:rsidP="00532097">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Variation of Carrier Phase Difference Due to Frequency Offset</w:t>
      </w:r>
    </w:p>
    <w:p w14:paraId="62529179" w14:textId="70C689F6" w:rsidR="005D2C39" w:rsidRDefault="004E718B" w:rsidP="005D2C39">
      <w:pPr>
        <w:spacing w:after="120"/>
        <w:jc w:val="both"/>
        <w:rPr>
          <w:sz w:val="22"/>
          <w:szCs w:val="22"/>
        </w:rPr>
      </w:pPr>
      <w:r>
        <w:rPr>
          <w:sz w:val="22"/>
          <w:szCs w:val="22"/>
        </w:rPr>
        <w:t xml:space="preserve">The issue of carrier frequency offset also affects the definition of reference symbol carrier phase difference. </w:t>
      </w:r>
      <w:r w:rsidR="001553F9">
        <w:rPr>
          <w:sz w:val="22"/>
          <w:szCs w:val="22"/>
        </w:rPr>
        <w:t xml:space="preserve">Relative to the frequency and phase of the serving cell, let </w:t>
      </w:r>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oMath>
      <w:r w:rsidR="001553F9">
        <w:rPr>
          <w:sz w:val="22"/>
          <w:szCs w:val="22"/>
        </w:rPr>
        <w:t xml:space="preserve"> and </w:t>
      </w:r>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m,UE</m:t>
            </m:r>
          </m:sub>
        </m:sSub>
      </m:oMath>
      <w:r w:rsidR="00831DA2">
        <w:rPr>
          <w:sz w:val="22"/>
          <w:szCs w:val="22"/>
        </w:rPr>
        <w:t xml:space="preserve"> denote the symbol-to-symbol phase rotation of the </w:t>
      </w:r>
      <w:r w:rsidR="008D4CBD" w:rsidRPr="008D4CBD">
        <w:rPr>
          <w:i/>
          <w:iCs/>
          <w:sz w:val="22"/>
          <w:szCs w:val="22"/>
        </w:rPr>
        <w:t>l</w:t>
      </w:r>
      <w:r w:rsidR="008D4CBD">
        <w:rPr>
          <w:sz w:val="22"/>
          <w:szCs w:val="22"/>
        </w:rPr>
        <w:t>-</w:t>
      </w:r>
      <w:proofErr w:type="spellStart"/>
      <w:r w:rsidR="008D4CBD">
        <w:rPr>
          <w:sz w:val="22"/>
          <w:szCs w:val="22"/>
        </w:rPr>
        <w:t>th</w:t>
      </w:r>
      <w:proofErr w:type="spellEnd"/>
      <w:r w:rsidR="008D4CBD">
        <w:rPr>
          <w:sz w:val="22"/>
          <w:szCs w:val="22"/>
        </w:rPr>
        <w:t xml:space="preserve"> and the </w:t>
      </w:r>
      <w:r w:rsidR="008D4CBD" w:rsidRPr="008D4CBD">
        <w:rPr>
          <w:i/>
          <w:iCs/>
          <w:sz w:val="22"/>
          <w:szCs w:val="22"/>
        </w:rPr>
        <w:t>m</w:t>
      </w:r>
      <w:r w:rsidR="008D4CBD">
        <w:rPr>
          <w:sz w:val="22"/>
          <w:szCs w:val="22"/>
        </w:rPr>
        <w:t>-</w:t>
      </w:r>
      <w:proofErr w:type="spellStart"/>
      <w:r w:rsidR="008D4CBD">
        <w:rPr>
          <w:sz w:val="22"/>
          <w:szCs w:val="22"/>
        </w:rPr>
        <w:t>th</w:t>
      </w:r>
      <w:proofErr w:type="spellEnd"/>
      <w:r w:rsidR="008D4CBD">
        <w:rPr>
          <w:sz w:val="22"/>
          <w:szCs w:val="22"/>
        </w:rPr>
        <w:t xml:space="preserve"> TRP, respectively, to the frequency and phase of the serving cell for the UE.  Furthermore, let </w:t>
      </w:r>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l,UE</m:t>
            </m:r>
          </m:sub>
          <m:sup>
            <m:r>
              <w:rPr>
                <w:rFonts w:ascii="Cambria Math" w:hAnsi="Cambria Math"/>
                <w:sz w:val="22"/>
                <w:szCs w:val="22"/>
              </w:rPr>
              <m:t>0</m:t>
            </m:r>
          </m:sup>
        </m:sSubSup>
      </m:oMath>
      <w:r w:rsidR="008D4CBD">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m,UE</m:t>
            </m:r>
          </m:sub>
          <m:sup>
            <m:r>
              <w:rPr>
                <w:rFonts w:ascii="Cambria Math" w:hAnsi="Cambria Math"/>
                <w:sz w:val="22"/>
                <w:szCs w:val="22"/>
              </w:rPr>
              <m:t>0</m:t>
            </m:r>
          </m:sup>
        </m:sSubSup>
      </m:oMath>
      <w:r w:rsidR="008D4CBD">
        <w:rPr>
          <w:sz w:val="22"/>
          <w:szCs w:val="22"/>
        </w:rPr>
        <w:t xml:space="preserve"> denote the </w:t>
      </w:r>
      <w:r w:rsidR="00AB2289">
        <w:rPr>
          <w:sz w:val="22"/>
          <w:szCs w:val="22"/>
        </w:rPr>
        <w:t xml:space="preserve">phase of the </w:t>
      </w:r>
      <w:r w:rsidR="00AB2289" w:rsidRPr="00A052AD">
        <w:rPr>
          <w:i/>
          <w:iCs/>
          <w:sz w:val="22"/>
          <w:szCs w:val="22"/>
        </w:rPr>
        <w:t>l</w:t>
      </w:r>
      <w:r w:rsidR="00AB2289">
        <w:rPr>
          <w:sz w:val="22"/>
          <w:szCs w:val="22"/>
        </w:rPr>
        <w:t>-</w:t>
      </w:r>
      <w:proofErr w:type="spellStart"/>
      <w:r w:rsidR="00AB2289">
        <w:rPr>
          <w:sz w:val="22"/>
          <w:szCs w:val="22"/>
        </w:rPr>
        <w:t>th</w:t>
      </w:r>
      <w:proofErr w:type="spellEnd"/>
      <w:r w:rsidR="00AB2289">
        <w:rPr>
          <w:sz w:val="22"/>
          <w:szCs w:val="22"/>
        </w:rPr>
        <w:t xml:space="preserve"> and </w:t>
      </w:r>
      <w:r w:rsidR="00AB2289" w:rsidRPr="00A052AD">
        <w:rPr>
          <w:i/>
          <w:iCs/>
          <w:sz w:val="22"/>
          <w:szCs w:val="22"/>
        </w:rPr>
        <w:t>m</w:t>
      </w:r>
      <w:r w:rsidR="00AB2289">
        <w:rPr>
          <w:sz w:val="22"/>
          <w:szCs w:val="22"/>
        </w:rPr>
        <w:t>-</w:t>
      </w:r>
      <w:proofErr w:type="spellStart"/>
      <w:r w:rsidR="00AB2289">
        <w:rPr>
          <w:sz w:val="22"/>
          <w:szCs w:val="22"/>
        </w:rPr>
        <w:t>th</w:t>
      </w:r>
      <w:proofErr w:type="spellEnd"/>
      <w:r w:rsidR="00AB2289">
        <w:rPr>
          <w:sz w:val="22"/>
          <w:szCs w:val="22"/>
        </w:rPr>
        <w:t xml:space="preserve"> TRP relative to the phase of the serving cell in the first symbol.  If the phase of the </w:t>
      </w:r>
      <w:r w:rsidR="00AB2289" w:rsidRPr="00AB2289">
        <w:rPr>
          <w:i/>
          <w:iCs/>
          <w:sz w:val="22"/>
          <w:szCs w:val="22"/>
        </w:rPr>
        <w:t>l</w:t>
      </w:r>
      <w:r w:rsidR="00AB2289">
        <w:rPr>
          <w:sz w:val="22"/>
          <w:szCs w:val="22"/>
        </w:rPr>
        <w:t>-</w:t>
      </w:r>
      <w:proofErr w:type="spellStart"/>
      <w:r w:rsidR="00AB2289">
        <w:rPr>
          <w:sz w:val="22"/>
          <w:szCs w:val="22"/>
        </w:rPr>
        <w:t>th</w:t>
      </w:r>
      <w:proofErr w:type="spellEnd"/>
      <w:r w:rsidR="00AB2289">
        <w:rPr>
          <w:sz w:val="22"/>
          <w:szCs w:val="22"/>
        </w:rPr>
        <w:t xml:space="preserve"> and </w:t>
      </w:r>
      <w:r w:rsidR="00AB2289" w:rsidRPr="00AB2289">
        <w:rPr>
          <w:i/>
          <w:iCs/>
          <w:sz w:val="22"/>
          <w:szCs w:val="22"/>
        </w:rPr>
        <w:t>m</w:t>
      </w:r>
      <w:r w:rsidR="00AB2289">
        <w:rPr>
          <w:sz w:val="22"/>
          <w:szCs w:val="22"/>
        </w:rPr>
        <w:t>-</w:t>
      </w:r>
      <w:proofErr w:type="spellStart"/>
      <w:r w:rsidR="00AB2289">
        <w:rPr>
          <w:sz w:val="22"/>
          <w:szCs w:val="22"/>
        </w:rPr>
        <w:t>th</w:t>
      </w:r>
      <w:proofErr w:type="spellEnd"/>
      <w:r w:rsidR="00AB2289">
        <w:rPr>
          <w:sz w:val="22"/>
          <w:szCs w:val="22"/>
        </w:rPr>
        <w:t xml:space="preserve"> TRP’s are measured in symbols </w:t>
      </w:r>
      <w:proofErr w:type="spellStart"/>
      <w:r w:rsidR="00AB2289" w:rsidRPr="00AB2289">
        <w:rPr>
          <w:i/>
          <w:iCs/>
          <w:sz w:val="22"/>
          <w:szCs w:val="22"/>
        </w:rPr>
        <w:t>i</w:t>
      </w:r>
      <w:proofErr w:type="spellEnd"/>
      <w:r w:rsidR="00AB2289">
        <w:rPr>
          <w:sz w:val="22"/>
          <w:szCs w:val="22"/>
        </w:rPr>
        <w:t xml:space="preserve"> and </w:t>
      </w:r>
      <w:r w:rsidR="00AB2289" w:rsidRPr="00AB2289">
        <w:rPr>
          <w:i/>
          <w:iCs/>
          <w:sz w:val="22"/>
          <w:szCs w:val="22"/>
        </w:rPr>
        <w:t>j</w:t>
      </w:r>
      <w:r w:rsidR="00AB2289">
        <w:rPr>
          <w:sz w:val="22"/>
          <w:szCs w:val="22"/>
        </w:rPr>
        <w:t>, respectively, then the carrier phase difference corresponding to these measurements is given by</w:t>
      </w:r>
    </w:p>
    <w:p w14:paraId="64B3732D" w14:textId="6FC94F7F" w:rsidR="00AB2289" w:rsidRPr="005D2C39" w:rsidRDefault="00000000" w:rsidP="005D2C39">
      <w:pPr>
        <w:spacing w:after="120"/>
        <w:jc w:val="both"/>
        <w:rPr>
          <w:sz w:val="22"/>
          <w:szCs w:val="22"/>
        </w:rPr>
      </w:pPr>
      <m:oMathPara>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l,UE</m:t>
                  </m:r>
                </m:sub>
                <m:sup>
                  <m:r>
                    <w:rPr>
                      <w:rFonts w:ascii="Cambria Math" w:hAnsi="Cambria Math"/>
                      <w:sz w:val="22"/>
                      <w:szCs w:val="22"/>
                    </w:rPr>
                    <m:t>0</m:t>
                  </m:r>
                </m:sup>
              </m:sSubSup>
              <m:r>
                <w:rPr>
                  <w:rFonts w:ascii="Cambria Math" w:hAnsi="Cambria Math"/>
                  <w:sz w:val="22"/>
                  <w:szCs w:val="22"/>
                </w:rPr>
                <m:t xml:space="preserve">+i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e>
          </m:d>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m,UE</m:t>
                  </m:r>
                </m:sub>
                <m:sup>
                  <m:r>
                    <w:rPr>
                      <w:rFonts w:ascii="Cambria Math" w:hAnsi="Cambria Math"/>
                      <w:sz w:val="22"/>
                      <w:szCs w:val="22"/>
                    </w:rPr>
                    <m:t>0</m:t>
                  </m:r>
                </m:sup>
              </m:sSubSup>
              <m:r>
                <w:rPr>
                  <w:rFonts w:ascii="Cambria Math" w:hAnsi="Cambria Math"/>
                  <w:sz w:val="22"/>
                  <w:szCs w:val="22"/>
                </w:rPr>
                <m:t xml:space="preserve">+j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m,UE</m:t>
                  </m:r>
                </m:sub>
              </m:sSub>
            </m:e>
          </m:d>
          <m:r>
            <w:rPr>
              <w:rFonts w:ascii="Cambria Math" w:hAnsi="Cambria Math"/>
              <w:sz w:val="22"/>
              <w:szCs w:val="22"/>
            </w:rPr>
            <m:t xml:space="preserve"> .</m:t>
          </m:r>
        </m:oMath>
      </m:oMathPara>
    </w:p>
    <w:p w14:paraId="2DC31003" w14:textId="27D9F62A" w:rsidR="00502DD2" w:rsidRDefault="003F2962" w:rsidP="00945BE0">
      <w:pPr>
        <w:spacing w:after="120"/>
        <w:jc w:val="both"/>
        <w:rPr>
          <w:sz w:val="22"/>
          <w:szCs w:val="22"/>
        </w:rPr>
      </w:pPr>
      <w:r>
        <w:rPr>
          <w:sz w:val="22"/>
          <w:szCs w:val="22"/>
        </w:rPr>
        <w:t xml:space="preserve">Depending on which symbols are used to measure the phase for each TRP, the carrier phase </w:t>
      </w:r>
      <w:r w:rsidR="00C11B05">
        <w:rPr>
          <w:sz w:val="22"/>
          <w:szCs w:val="22"/>
        </w:rPr>
        <w:t xml:space="preserve">difference </w:t>
      </w:r>
      <w:r>
        <w:rPr>
          <w:sz w:val="22"/>
          <w:szCs w:val="22"/>
        </w:rPr>
        <w:t xml:space="preserve">measurement can vary by </w:t>
      </w:r>
      <w:r w:rsidR="00C8677F">
        <w:rPr>
          <w:sz w:val="22"/>
          <w:szCs w:val="22"/>
        </w:rPr>
        <w:t>as much as</w:t>
      </w:r>
    </w:p>
    <w:p w14:paraId="5E058D90" w14:textId="6D45FACC" w:rsidR="003F2962" w:rsidRPr="003F2962" w:rsidRDefault="00A052AD" w:rsidP="004D6D3F">
      <w:pPr>
        <w:spacing w:after="120"/>
        <w:jc w:val="both"/>
        <w:rPr>
          <w:sz w:val="22"/>
          <w:szCs w:val="22"/>
        </w:rPr>
      </w:pPr>
      <m:oMathPara>
        <m:oMath>
          <m:r>
            <w:rPr>
              <w:rFonts w:ascii="Cambria Math" w:hAnsi="Cambria Math"/>
              <w:sz w:val="22"/>
              <w:szCs w:val="22"/>
            </w:rPr>
            <m:t xml:space="preserve">2 </m:t>
          </m:r>
          <m:d>
            <m:dPr>
              <m:ctrlPr>
                <w:rPr>
                  <w:rFonts w:ascii="Cambria Math" w:hAnsi="Cambria Math"/>
                  <w:i/>
                  <w:sz w:val="22"/>
                  <w:szCs w:val="22"/>
                </w:rPr>
              </m:ctrlPr>
            </m:dPr>
            <m:e>
              <m:r>
                <w:rPr>
                  <w:rFonts w:ascii="Cambria Math" w:hAnsi="Cambria Math"/>
                  <w:sz w:val="22"/>
                  <w:szCs w:val="22"/>
                </w:rPr>
                <m:t>N-1</m:t>
              </m:r>
            </m:e>
          </m:d>
          <m:d>
            <m:dPr>
              <m:ctrlPr>
                <w:rPr>
                  <w:rFonts w:ascii="Cambria Math" w:hAnsi="Cambria Math"/>
                  <w:i/>
                  <w:sz w:val="22"/>
                  <w:szCs w:val="22"/>
                </w:rPr>
              </m:ctrlPr>
            </m:dPr>
            <m:e>
              <m:r>
                <w:rPr>
                  <w:rFonts w:ascii="Cambria Math" w:hAnsi="Cambria Math"/>
                  <w:sz w:val="22"/>
                  <w:szCs w:val="22"/>
                </w:rPr>
                <m:t xml:space="preserve">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r>
                <w:rPr>
                  <w:rFonts w:ascii="Cambria Math" w:hAnsi="Cambria Math"/>
                  <w:sz w:val="22"/>
                  <w:szCs w:val="22"/>
                </w:rPr>
                <m:t>+</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m,UE</m:t>
                  </m:r>
                </m:sub>
              </m:sSub>
            </m:e>
          </m:d>
          <m:r>
            <w:rPr>
              <w:rFonts w:ascii="Cambria Math" w:hAnsi="Cambria Math"/>
              <w:sz w:val="22"/>
              <w:szCs w:val="22"/>
            </w:rPr>
            <m:t xml:space="preserve"> </m:t>
          </m:r>
          <m:r>
            <m:rPr>
              <m:sty m:val="p"/>
            </m:rPr>
            <w:rPr>
              <w:rFonts w:ascii="Cambria Math" w:hAnsi="Cambria Math"/>
              <w:sz w:val="22"/>
              <w:szCs w:val="22"/>
            </w:rPr>
            <m:t>degrees</m:t>
          </m:r>
        </m:oMath>
      </m:oMathPara>
    </w:p>
    <w:p w14:paraId="5DE30829" w14:textId="0A5B931E" w:rsidR="00C11B05" w:rsidRDefault="00C11B05" w:rsidP="00C8677F">
      <w:pPr>
        <w:jc w:val="both"/>
        <w:rPr>
          <w:sz w:val="22"/>
          <w:szCs w:val="22"/>
        </w:rPr>
      </w:pPr>
      <w:r>
        <w:rPr>
          <w:sz w:val="22"/>
          <w:szCs w:val="22"/>
        </w:rPr>
        <w:t>over the slot.  I</w:t>
      </w:r>
      <w:r w:rsidR="00C8677F">
        <w:rPr>
          <w:sz w:val="22"/>
          <w:szCs w:val="22"/>
        </w:rPr>
        <w:t xml:space="preserve">n a manner </w:t>
      </w:r>
      <w:proofErr w:type="gramStart"/>
      <w:r w:rsidR="00C8677F">
        <w:rPr>
          <w:sz w:val="22"/>
          <w:szCs w:val="22"/>
        </w:rPr>
        <w:t>similar to</w:t>
      </w:r>
      <w:proofErr w:type="gramEnd"/>
      <w:r w:rsidR="00C8677F">
        <w:rPr>
          <w:sz w:val="22"/>
          <w:szCs w:val="22"/>
        </w:rPr>
        <w:t xml:space="preserve"> that in the previous section, it can be shown that</w:t>
      </w:r>
    </w:p>
    <w:p w14:paraId="0E4B9337" w14:textId="4A2EFB92" w:rsidR="00C11B05" w:rsidRDefault="00000000" w:rsidP="004D6D3F">
      <w:pPr>
        <w:spacing w:after="120"/>
        <w:jc w:val="both"/>
        <w:rPr>
          <w:sz w:val="22"/>
          <w:szCs w:val="22"/>
        </w:rPr>
      </w:pPr>
      <m:oMathPara>
        <m:oMath>
          <m:d>
            <m:dPr>
              <m:begChr m:val="|"/>
              <m:endChr m:val="|"/>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r>
                <w:rPr>
                  <w:rFonts w:ascii="Cambria Math" w:hAnsi="Cambria Math"/>
                  <w:sz w:val="22"/>
                  <w:szCs w:val="22"/>
                </w:rPr>
                <m:t>+</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m,UE</m:t>
                  </m:r>
                </m:sub>
              </m:sSub>
            </m:e>
          </m:d>
          <m:r>
            <w:rPr>
              <w:rFonts w:ascii="Cambria Math" w:eastAsiaTheme="minorEastAsia" w:hAnsi="Cambria Math"/>
              <w:sz w:val="22"/>
              <w:szCs w:val="22"/>
            </w:rPr>
            <m:t>≤</m:t>
          </m:r>
          <m:r>
            <w:rPr>
              <w:rFonts w:ascii="Cambria Math" w:hAnsi="Cambria Math"/>
              <w:sz w:val="22"/>
              <w:szCs w:val="22"/>
            </w:rPr>
            <m:t xml:space="preserve">5.1 </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r>
            <w:rPr>
              <w:rFonts w:ascii="Cambria Math" w:hAnsi="Cambria Math"/>
              <w:sz w:val="22"/>
              <w:szCs w:val="22"/>
            </w:rPr>
            <m:t xml:space="preserve"> (</m:t>
          </m:r>
          <m:r>
            <m:rPr>
              <m:sty m:val="p"/>
            </m:rPr>
            <w:rPr>
              <w:rFonts w:ascii="Cambria Math" w:hAnsi="Cambria Math"/>
              <w:sz w:val="22"/>
              <w:szCs w:val="22"/>
            </w:rPr>
            <m:t>degrees/symbol</m:t>
          </m:r>
          <m:r>
            <w:rPr>
              <w:rFonts w:ascii="Cambria Math" w:hAnsi="Cambria Math"/>
              <w:sz w:val="22"/>
              <w:szCs w:val="22"/>
            </w:rPr>
            <m:t>) .</m:t>
          </m:r>
        </m:oMath>
      </m:oMathPara>
    </w:p>
    <w:p w14:paraId="6FEBFDCD" w14:textId="26D26E1E" w:rsidR="00385C42" w:rsidRPr="003F2962" w:rsidRDefault="00C8677F" w:rsidP="004D6D3F">
      <w:pPr>
        <w:spacing w:after="120"/>
        <w:jc w:val="both"/>
        <w:rPr>
          <w:sz w:val="22"/>
          <w:szCs w:val="22"/>
        </w:rPr>
      </w:pPr>
      <w:r>
        <w:rPr>
          <w:sz w:val="22"/>
          <w:szCs w:val="22"/>
        </w:rPr>
        <w:t xml:space="preserve">As a result, depending on which symbols are used to </w:t>
      </w:r>
      <w:r w:rsidR="00BF5F1A">
        <w:rPr>
          <w:sz w:val="22"/>
          <w:szCs w:val="22"/>
        </w:rPr>
        <w:t>measure carrier phase for each of the TRP’s, the carrier phase difference reported by the UE can vary by as much as</w:t>
      </w:r>
    </w:p>
    <w:p w14:paraId="5085C865" w14:textId="6A251EFC" w:rsidR="00385C42" w:rsidRDefault="00A052AD" w:rsidP="004D6D3F">
      <w:pPr>
        <w:spacing w:after="120"/>
        <w:jc w:val="both"/>
        <w:rPr>
          <w:sz w:val="22"/>
          <w:szCs w:val="22"/>
        </w:rPr>
      </w:pPr>
      <m:oMathPara>
        <m:oMath>
          <m:r>
            <w:rPr>
              <w:rFonts w:ascii="Cambria Math" w:hAnsi="Cambria Math"/>
              <w:sz w:val="22"/>
              <w:szCs w:val="22"/>
            </w:rPr>
            <m:t>2</m:t>
          </m:r>
          <m:r>
            <w:rPr>
              <w:rFonts w:ascii="Cambria Math" w:hAnsi="Cambria Math"/>
              <w:sz w:val="22"/>
              <w:szCs w:val="22"/>
            </w:rPr>
            <m:t xml:space="preserve"> ∙ </m:t>
          </m:r>
          <m:r>
            <w:rPr>
              <w:rFonts w:ascii="Cambria Math" w:hAnsi="Cambria Math"/>
              <w:sz w:val="22"/>
              <w:szCs w:val="22"/>
            </w:rPr>
            <m:t>13 ∙ 5.1∙</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r>
            <m:rPr>
              <m:sty m:val="bi"/>
            </m:rPr>
            <w:rPr>
              <w:rFonts w:ascii="Cambria Math" w:hAnsi="Cambria Math"/>
              <w:sz w:val="22"/>
              <w:szCs w:val="22"/>
            </w:rPr>
            <m:t>13</m:t>
          </m:r>
          <m:r>
            <m:rPr>
              <m:sty m:val="bi"/>
            </m:rPr>
            <w:rPr>
              <w:rFonts w:ascii="Cambria Math" w:hAnsi="Cambria Math"/>
              <w:sz w:val="22"/>
              <w:szCs w:val="22"/>
            </w:rPr>
            <m:t xml:space="preserve">3 </m:t>
          </m:r>
          <m:sSub>
            <m:sSubPr>
              <m:ctrlPr>
                <w:rPr>
                  <w:rFonts w:ascii="Cambria Math" w:hAnsi="Cambria Math"/>
                  <w:b/>
                  <w:bCs/>
                  <w:i/>
                  <w:sz w:val="22"/>
                  <w:szCs w:val="22"/>
                </w:rPr>
              </m:ctrlPr>
            </m:sSubPr>
            <m:e>
              <m:r>
                <m:rPr>
                  <m:sty m:val="bi"/>
                </m:rPr>
                <w:rPr>
                  <w:rFonts w:ascii="Cambria Math" w:hAnsi="Cambria Math"/>
                  <w:sz w:val="22"/>
                  <w:szCs w:val="22"/>
                </w:rPr>
                <m:t>f</m:t>
              </m:r>
            </m:e>
            <m:sub>
              <m:r>
                <m:rPr>
                  <m:sty m:val="bi"/>
                </m:rPr>
                <w:rPr>
                  <w:rFonts w:ascii="Cambria Math" w:hAnsi="Cambria Math"/>
                  <w:sz w:val="22"/>
                  <w:szCs w:val="22"/>
                </w:rPr>
                <m:t>c</m:t>
              </m:r>
            </m:sub>
          </m:sSub>
          <m:r>
            <w:rPr>
              <w:rFonts w:ascii="Cambria Math" w:hAnsi="Cambria Math"/>
              <w:sz w:val="22"/>
              <w:szCs w:val="22"/>
            </w:rPr>
            <m:t xml:space="preserve">  </m:t>
          </m:r>
          <m:d>
            <m:dPr>
              <m:ctrlPr>
                <w:rPr>
                  <w:rFonts w:ascii="Cambria Math" w:hAnsi="Cambria Math"/>
                  <w:i/>
                  <w:sz w:val="22"/>
                  <w:szCs w:val="22"/>
                </w:rPr>
              </m:ctrlPr>
            </m:dPr>
            <m:e>
              <m:r>
                <m:rPr>
                  <m:sty m:val="p"/>
                </m:rPr>
                <w:rPr>
                  <w:rFonts w:ascii="Cambria Math" w:hAnsi="Cambria Math"/>
                  <w:sz w:val="22"/>
                  <w:szCs w:val="22"/>
                </w:rPr>
                <m:t>degrees</m:t>
              </m:r>
            </m:e>
          </m:d>
          <m:r>
            <w:rPr>
              <w:rFonts w:ascii="Cambria Math" w:hAnsi="Cambria Math"/>
              <w:sz w:val="22"/>
              <w:szCs w:val="22"/>
            </w:rPr>
            <m:t xml:space="preserve"> .</m:t>
          </m:r>
        </m:oMath>
      </m:oMathPara>
    </w:p>
    <w:p w14:paraId="78D67CCF" w14:textId="0D6EDFB9" w:rsidR="00945BE0" w:rsidRDefault="00BF5F1A" w:rsidP="004D6D3F">
      <w:pPr>
        <w:spacing w:after="120"/>
        <w:jc w:val="both"/>
        <w:rPr>
          <w:sz w:val="22"/>
          <w:szCs w:val="22"/>
        </w:rPr>
      </w:pPr>
      <w:r>
        <w:rPr>
          <w:sz w:val="22"/>
          <w:szCs w:val="22"/>
        </w:rPr>
        <w:t>Given this large variation</w:t>
      </w:r>
      <w:r w:rsidR="00945BE0">
        <w:rPr>
          <w:sz w:val="22"/>
          <w:szCs w:val="22"/>
        </w:rPr>
        <w:t>, the resulting distance estimates may be of poor quality</w:t>
      </w:r>
      <w:r w:rsidR="0098297F">
        <w:rPr>
          <w:sz w:val="22"/>
          <w:szCs w:val="22"/>
        </w:rPr>
        <w:t xml:space="preserve"> if the UE and the PRU due not base measurements on the same symbols within the slot</w:t>
      </w:r>
      <w:r w:rsidR="000B437E">
        <w:rPr>
          <w:sz w:val="22"/>
          <w:szCs w:val="22"/>
        </w:rPr>
        <w:t>, even if the carrier phase measurements are exact for the time they are taken.</w:t>
      </w:r>
    </w:p>
    <w:p w14:paraId="2EE82BD5" w14:textId="0B3F9BB5" w:rsidR="00BF5F1A" w:rsidRDefault="00F03A1C" w:rsidP="00073F05">
      <w:pPr>
        <w:jc w:val="both"/>
        <w:rPr>
          <w:sz w:val="22"/>
          <w:szCs w:val="22"/>
        </w:rPr>
      </w:pPr>
      <w:r>
        <w:rPr>
          <w:sz w:val="22"/>
          <w:szCs w:val="22"/>
        </w:rPr>
        <w:t>If the UE uses the</w:t>
      </w:r>
      <w:r w:rsidR="008A67CA">
        <w:rPr>
          <w:sz w:val="22"/>
          <w:szCs w:val="22"/>
        </w:rPr>
        <w:t xml:space="preserve"> DL-PRS</w:t>
      </w:r>
      <w:r w:rsidR="000066B1">
        <w:rPr>
          <w:sz w:val="22"/>
          <w:szCs w:val="22"/>
        </w:rPr>
        <w:t xml:space="preserve"> in </w:t>
      </w:r>
      <w:proofErr w:type="spellStart"/>
      <w:r>
        <w:rPr>
          <w:sz w:val="22"/>
          <w:szCs w:val="22"/>
        </w:rPr>
        <w:t>center</w:t>
      </w:r>
      <w:proofErr w:type="spellEnd"/>
      <w:r>
        <w:rPr>
          <w:sz w:val="22"/>
          <w:szCs w:val="22"/>
        </w:rPr>
        <w:t xml:space="preserve"> subcarrier to measure carrier phase, then it may choose to use different symbols for measuring carrier phase on the </w:t>
      </w:r>
      <w:r w:rsidRPr="00092F09">
        <w:rPr>
          <w:i/>
          <w:iCs/>
          <w:sz w:val="22"/>
          <w:szCs w:val="22"/>
        </w:rPr>
        <w:t>l</w:t>
      </w:r>
      <w:r>
        <w:rPr>
          <w:sz w:val="22"/>
          <w:szCs w:val="22"/>
        </w:rPr>
        <w:t>-</w:t>
      </w:r>
      <w:proofErr w:type="spellStart"/>
      <w:r>
        <w:rPr>
          <w:sz w:val="22"/>
          <w:szCs w:val="22"/>
        </w:rPr>
        <w:t>th</w:t>
      </w:r>
      <w:proofErr w:type="spellEnd"/>
      <w:r>
        <w:rPr>
          <w:sz w:val="22"/>
          <w:szCs w:val="22"/>
        </w:rPr>
        <w:t xml:space="preserve"> and </w:t>
      </w:r>
      <w:r w:rsidRPr="00092F09">
        <w:rPr>
          <w:i/>
          <w:iCs/>
          <w:sz w:val="22"/>
          <w:szCs w:val="22"/>
        </w:rPr>
        <w:t>m</w:t>
      </w:r>
      <w:r>
        <w:rPr>
          <w:sz w:val="22"/>
          <w:szCs w:val="22"/>
        </w:rPr>
        <w:t>-</w:t>
      </w:r>
      <w:proofErr w:type="spellStart"/>
      <w:r>
        <w:rPr>
          <w:sz w:val="22"/>
          <w:szCs w:val="22"/>
        </w:rPr>
        <w:t>th</w:t>
      </w:r>
      <w:proofErr w:type="spellEnd"/>
      <w:r>
        <w:rPr>
          <w:sz w:val="22"/>
          <w:szCs w:val="22"/>
        </w:rPr>
        <w:t xml:space="preserve"> TRP’s since the corresponding</w:t>
      </w:r>
      <w:r w:rsidR="008A67CA">
        <w:rPr>
          <w:sz w:val="22"/>
          <w:szCs w:val="22"/>
        </w:rPr>
        <w:t xml:space="preserve"> DL-PRS</w:t>
      </w:r>
      <w:r>
        <w:rPr>
          <w:sz w:val="22"/>
          <w:szCs w:val="22"/>
        </w:rPr>
        <w:t xml:space="preserve"> occur in different </w:t>
      </w:r>
      <w:r w:rsidR="00092F09">
        <w:rPr>
          <w:sz w:val="22"/>
          <w:szCs w:val="22"/>
        </w:rPr>
        <w:t xml:space="preserve">symbols within the </w:t>
      </w:r>
      <w:proofErr w:type="spellStart"/>
      <w:r w:rsidR="00092F09">
        <w:rPr>
          <w:sz w:val="22"/>
          <w:szCs w:val="22"/>
        </w:rPr>
        <w:t>center</w:t>
      </w:r>
      <w:proofErr w:type="spellEnd"/>
      <w:r w:rsidR="00092F09">
        <w:rPr>
          <w:sz w:val="22"/>
          <w:szCs w:val="22"/>
        </w:rPr>
        <w:t xml:space="preserve"> subcarrier.  This is shown in Figure 1 below in which the carrier phase measurements for the </w:t>
      </w:r>
      <w:r w:rsidR="00092F09" w:rsidRPr="00092F09">
        <w:rPr>
          <w:i/>
          <w:iCs/>
          <w:sz w:val="22"/>
          <w:szCs w:val="22"/>
        </w:rPr>
        <w:t>l</w:t>
      </w:r>
      <w:r w:rsidR="00092F09">
        <w:rPr>
          <w:sz w:val="22"/>
          <w:szCs w:val="22"/>
        </w:rPr>
        <w:t>-</w:t>
      </w:r>
      <w:proofErr w:type="spellStart"/>
      <w:r w:rsidR="00092F09">
        <w:rPr>
          <w:sz w:val="22"/>
          <w:szCs w:val="22"/>
        </w:rPr>
        <w:t>th</w:t>
      </w:r>
      <w:proofErr w:type="spellEnd"/>
      <w:r w:rsidR="00092F09">
        <w:rPr>
          <w:sz w:val="22"/>
          <w:szCs w:val="22"/>
        </w:rPr>
        <w:t xml:space="preserve"> and </w:t>
      </w:r>
      <w:r w:rsidR="00092F09" w:rsidRPr="00092F09">
        <w:rPr>
          <w:i/>
          <w:iCs/>
          <w:sz w:val="22"/>
          <w:szCs w:val="22"/>
        </w:rPr>
        <w:t>m</w:t>
      </w:r>
      <w:r w:rsidR="00092F09">
        <w:rPr>
          <w:sz w:val="22"/>
          <w:szCs w:val="22"/>
        </w:rPr>
        <w:t>-</w:t>
      </w:r>
      <w:proofErr w:type="spellStart"/>
      <w:r w:rsidR="00092F09">
        <w:rPr>
          <w:sz w:val="22"/>
          <w:szCs w:val="22"/>
        </w:rPr>
        <w:t>th</w:t>
      </w:r>
      <w:proofErr w:type="spellEnd"/>
      <w:r w:rsidR="00092F09">
        <w:rPr>
          <w:sz w:val="22"/>
          <w:szCs w:val="22"/>
        </w:rPr>
        <w:t xml:space="preserve"> PRU are taken in the second and sixth symbols, respectively. </w:t>
      </w:r>
      <w:r w:rsidR="000B437E">
        <w:rPr>
          <w:sz w:val="22"/>
          <w:szCs w:val="22"/>
        </w:rPr>
        <w:t>Alternatively, the UE may take a reference symbol carrier phase measurement for a TRP in a symbol for which there is no</w:t>
      </w:r>
      <w:r w:rsidR="008A67CA">
        <w:rPr>
          <w:sz w:val="22"/>
          <w:szCs w:val="22"/>
        </w:rPr>
        <w:t xml:space="preserve"> DL-PRS</w:t>
      </w:r>
      <w:r w:rsidR="000B437E">
        <w:rPr>
          <w:sz w:val="22"/>
          <w:szCs w:val="22"/>
        </w:rPr>
        <w:t xml:space="preserve"> </w:t>
      </w:r>
      <w:r w:rsidR="00A052AD">
        <w:rPr>
          <w:sz w:val="22"/>
          <w:szCs w:val="22"/>
        </w:rPr>
        <w:t>in</w:t>
      </w:r>
      <w:r w:rsidR="000B437E">
        <w:rPr>
          <w:sz w:val="22"/>
          <w:szCs w:val="22"/>
        </w:rPr>
        <w:t xml:space="preserve"> the </w:t>
      </w:r>
      <w:proofErr w:type="spellStart"/>
      <w:r w:rsidR="000B437E">
        <w:rPr>
          <w:sz w:val="22"/>
          <w:szCs w:val="22"/>
        </w:rPr>
        <w:t>center</w:t>
      </w:r>
      <w:proofErr w:type="spellEnd"/>
      <w:r w:rsidR="000B437E">
        <w:rPr>
          <w:sz w:val="22"/>
          <w:szCs w:val="22"/>
        </w:rPr>
        <w:t xml:space="preserve"> subcarrier.</w:t>
      </w:r>
    </w:p>
    <w:p w14:paraId="3A61A391" w14:textId="1A78D897" w:rsidR="000066B1" w:rsidRDefault="00B043AC" w:rsidP="00B043AC">
      <w:pPr>
        <w:jc w:val="center"/>
        <w:rPr>
          <w:sz w:val="22"/>
          <w:szCs w:val="22"/>
        </w:rPr>
      </w:pPr>
      <w:r w:rsidRPr="00B043AC">
        <w:rPr>
          <w:noProof/>
        </w:rPr>
        <w:drawing>
          <wp:inline distT="0" distB="0" distL="0" distR="0" wp14:anchorId="18D682BA" wp14:editId="08522822">
            <wp:extent cx="3319272" cy="7498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9272" cy="749808"/>
                    </a:xfrm>
                    <a:prstGeom prst="rect">
                      <a:avLst/>
                    </a:prstGeom>
                    <a:noFill/>
                    <a:ln>
                      <a:noFill/>
                    </a:ln>
                  </pic:spPr>
                </pic:pic>
              </a:graphicData>
            </a:graphic>
          </wp:inline>
        </w:drawing>
      </w:r>
    </w:p>
    <w:p w14:paraId="6E5FEAB0" w14:textId="782BC70C" w:rsidR="00CA6ECE" w:rsidRPr="00EA06E6" w:rsidRDefault="000066B1" w:rsidP="00073F05">
      <w:pPr>
        <w:spacing w:after="24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1:</w:t>
      </w:r>
      <w:r>
        <w:rPr>
          <w:rFonts w:eastAsia="MS Gothic"/>
          <w:sz w:val="22"/>
          <w:szCs w:val="22"/>
          <w:lang w:eastAsia="ja-JP"/>
        </w:rPr>
        <w:t xml:space="preserve"> DL-PRS located </w:t>
      </w:r>
      <w:r w:rsidRPr="000066B1">
        <w:rPr>
          <w:rFonts w:eastAsia="MS Gothic"/>
          <w:sz w:val="22"/>
          <w:szCs w:val="22"/>
          <w:lang w:eastAsia="ja-JP"/>
        </w:rPr>
        <w:t xml:space="preserve">in symbols 2 and 6 for TRP’s </w:t>
      </w:r>
      <w:r w:rsidRPr="00EA06E6">
        <w:rPr>
          <w:rFonts w:eastAsia="MS Gothic"/>
          <w:i/>
          <w:iCs/>
          <w:sz w:val="22"/>
          <w:szCs w:val="22"/>
          <w:lang w:eastAsia="ja-JP"/>
        </w:rPr>
        <w:t>l</w:t>
      </w:r>
      <w:r w:rsidRPr="000066B1">
        <w:rPr>
          <w:rFonts w:eastAsia="MS Gothic"/>
          <w:sz w:val="22"/>
          <w:szCs w:val="22"/>
          <w:lang w:eastAsia="ja-JP"/>
        </w:rPr>
        <w:t xml:space="preserve"> and </w:t>
      </w:r>
      <w:r w:rsidRPr="00EA06E6">
        <w:rPr>
          <w:rFonts w:eastAsia="MS Gothic"/>
          <w:i/>
          <w:iCs/>
          <w:sz w:val="22"/>
          <w:szCs w:val="22"/>
          <w:lang w:eastAsia="ja-JP"/>
        </w:rPr>
        <w:t>m</w:t>
      </w:r>
      <w:r w:rsidRPr="000066B1">
        <w:rPr>
          <w:rFonts w:eastAsia="MS Gothic"/>
          <w:sz w:val="22"/>
          <w:szCs w:val="22"/>
          <w:lang w:eastAsia="ja-JP"/>
        </w:rPr>
        <w:t xml:space="preserve">. </w:t>
      </w:r>
    </w:p>
    <w:p w14:paraId="44FF1378" w14:textId="17E9E3EA" w:rsidR="00AA68E9" w:rsidRPr="001022B9" w:rsidRDefault="00690CC0" w:rsidP="001022B9">
      <w:pPr>
        <w:pStyle w:val="ListParagraph"/>
        <w:numPr>
          <w:ilvl w:val="0"/>
          <w:numId w:val="16"/>
        </w:numPr>
        <w:spacing w:after="120"/>
        <w:jc w:val="both"/>
        <w:rPr>
          <w:rFonts w:ascii="Arial" w:eastAsia="MS Gothic" w:hAnsi="Arial"/>
          <w:b/>
          <w:color w:val="000000"/>
          <w:kern w:val="28"/>
          <w:sz w:val="28"/>
          <w:lang w:eastAsia="ja-JP"/>
        </w:rPr>
      </w:pPr>
      <w:bookmarkStart w:id="3" w:name="_Hlk142645395"/>
      <w:bookmarkEnd w:id="1"/>
      <w:r>
        <w:rPr>
          <w:rFonts w:ascii="Arial" w:eastAsia="MS Gothic" w:hAnsi="Arial"/>
          <w:b/>
          <w:color w:val="000000"/>
          <w:kern w:val="28"/>
          <w:sz w:val="28"/>
          <w:lang w:eastAsia="ja-JP"/>
        </w:rPr>
        <w:t>Variation of Carrier Phase with</w:t>
      </w:r>
      <w:r w:rsidR="008A67CA">
        <w:rPr>
          <w:rFonts w:ascii="Arial" w:eastAsia="MS Gothic" w:hAnsi="Arial"/>
          <w:b/>
          <w:color w:val="000000"/>
          <w:kern w:val="28"/>
          <w:sz w:val="28"/>
          <w:lang w:eastAsia="ja-JP"/>
        </w:rPr>
        <w:t xml:space="preserve"> DL-PRS</w:t>
      </w:r>
      <w:r>
        <w:rPr>
          <w:rFonts w:ascii="Arial" w:eastAsia="MS Gothic" w:hAnsi="Arial"/>
          <w:b/>
          <w:color w:val="000000"/>
          <w:kern w:val="28"/>
          <w:sz w:val="28"/>
          <w:lang w:eastAsia="ja-JP"/>
        </w:rPr>
        <w:t xml:space="preserve"> Repetition </w:t>
      </w:r>
    </w:p>
    <w:p w14:paraId="6753C30B" w14:textId="10AF182E" w:rsidR="00F404D7" w:rsidRDefault="006660DD" w:rsidP="006660DD">
      <w:pPr>
        <w:spacing w:after="120"/>
        <w:jc w:val="both"/>
        <w:rPr>
          <w:sz w:val="22"/>
          <w:szCs w:val="22"/>
        </w:rPr>
      </w:pPr>
      <w:r>
        <w:rPr>
          <w:sz w:val="22"/>
          <w:szCs w:val="22"/>
        </w:rPr>
        <w:t>As discussed above</w:t>
      </w:r>
      <w:r w:rsidRPr="006660DD">
        <w:rPr>
          <w:sz w:val="22"/>
          <w:szCs w:val="22"/>
        </w:rPr>
        <w:t xml:space="preserve">, </w:t>
      </w:r>
      <w:r w:rsidR="000E2339">
        <w:rPr>
          <w:sz w:val="22"/>
          <w:szCs w:val="22"/>
        </w:rPr>
        <w:t>with carrier frequency offs</w:t>
      </w:r>
      <w:r w:rsidR="00F404D7">
        <w:rPr>
          <w:sz w:val="22"/>
          <w:szCs w:val="22"/>
        </w:rPr>
        <w:t>e</w:t>
      </w:r>
      <w:r w:rsidR="000E2339">
        <w:rPr>
          <w:sz w:val="22"/>
          <w:szCs w:val="22"/>
        </w:rPr>
        <w:t xml:space="preserve">t, </w:t>
      </w:r>
      <w:r w:rsidRPr="006660DD">
        <w:rPr>
          <w:sz w:val="22"/>
          <w:szCs w:val="22"/>
        </w:rPr>
        <w:t xml:space="preserve">the </w:t>
      </w:r>
      <w:r w:rsidR="00690CC0">
        <w:rPr>
          <w:sz w:val="22"/>
          <w:szCs w:val="22"/>
        </w:rPr>
        <w:t xml:space="preserve">variation of the </w:t>
      </w:r>
      <w:r w:rsidRPr="006660DD">
        <w:rPr>
          <w:sz w:val="22"/>
          <w:szCs w:val="22"/>
        </w:rPr>
        <w:t xml:space="preserve">reference symbol carrier phase </w:t>
      </w:r>
      <w:r w:rsidR="00F404D7">
        <w:rPr>
          <w:sz w:val="22"/>
          <w:szCs w:val="22"/>
        </w:rPr>
        <w:t>within a slot can be very large</w:t>
      </w:r>
      <w:r w:rsidRPr="006660DD">
        <w:rPr>
          <w:sz w:val="22"/>
          <w:szCs w:val="22"/>
        </w:rPr>
        <w:t xml:space="preserve">. </w:t>
      </w:r>
      <w:r w:rsidR="00F404D7">
        <w:rPr>
          <w:sz w:val="22"/>
          <w:szCs w:val="22"/>
        </w:rPr>
        <w:t xml:space="preserve"> When</w:t>
      </w:r>
      <w:r w:rsidR="008A67CA">
        <w:rPr>
          <w:sz w:val="22"/>
          <w:szCs w:val="22"/>
        </w:rPr>
        <w:t xml:space="preserve"> DL-PRS</w:t>
      </w:r>
      <w:r w:rsidR="00F404D7">
        <w:rPr>
          <w:sz w:val="22"/>
          <w:szCs w:val="22"/>
        </w:rPr>
        <w:t xml:space="preserve"> are repeated in consecutive subframes, the</w:t>
      </w:r>
      <w:r w:rsidR="00690CC0">
        <w:rPr>
          <w:sz w:val="22"/>
          <w:szCs w:val="22"/>
        </w:rPr>
        <w:t xml:space="preserve"> variation is scaled up by the number o</w:t>
      </w:r>
      <w:r w:rsidR="00E51B96">
        <w:rPr>
          <w:sz w:val="22"/>
          <w:szCs w:val="22"/>
        </w:rPr>
        <w:t>f</w:t>
      </w:r>
      <w:r w:rsidR="00690CC0">
        <w:rPr>
          <w:sz w:val="22"/>
          <w:szCs w:val="22"/>
        </w:rPr>
        <w:t xml:space="preserve"> repetitions.  If the UE takes</w:t>
      </w:r>
      <w:r w:rsidR="008A67CA">
        <w:rPr>
          <w:sz w:val="22"/>
          <w:szCs w:val="22"/>
        </w:rPr>
        <w:t xml:space="preserve"> DL-PRS</w:t>
      </w:r>
      <w:r w:rsidR="00690CC0">
        <w:rPr>
          <w:sz w:val="22"/>
          <w:szCs w:val="22"/>
        </w:rPr>
        <w:t xml:space="preserve"> measurements in one of these slots and the PRU takes its measurement in a different slot, it</w:t>
      </w:r>
      <w:r w:rsidR="002C6B30">
        <w:rPr>
          <w:sz w:val="22"/>
          <w:szCs w:val="22"/>
        </w:rPr>
        <w:t xml:space="preserve"> is</w:t>
      </w:r>
      <w:r w:rsidR="00690CC0">
        <w:rPr>
          <w:sz w:val="22"/>
          <w:szCs w:val="22"/>
        </w:rPr>
        <w:t xml:space="preserve"> not clear that the LMF can meaningfully combine these measurements to get a carrier phase-based positioning estimate.</w:t>
      </w:r>
    </w:p>
    <w:p w14:paraId="4CD3E47B" w14:textId="2E756241" w:rsidR="006660DD" w:rsidRDefault="006660DD" w:rsidP="003C50CC">
      <w:pPr>
        <w:spacing w:after="240"/>
        <w:jc w:val="both"/>
        <w:rPr>
          <w:sz w:val="22"/>
          <w:szCs w:val="22"/>
        </w:rPr>
      </w:pPr>
      <w:r w:rsidRPr="006660DD">
        <w:rPr>
          <w:sz w:val="22"/>
          <w:szCs w:val="22"/>
        </w:rPr>
        <w:t>Consider the example below which shows four consecutive</w:t>
      </w:r>
      <w:r w:rsidR="008A67CA">
        <w:rPr>
          <w:sz w:val="22"/>
          <w:szCs w:val="22"/>
        </w:rPr>
        <w:t xml:space="preserve"> DL-PRS</w:t>
      </w:r>
      <w:r w:rsidRPr="006660DD">
        <w:rPr>
          <w:sz w:val="22"/>
          <w:szCs w:val="22"/>
        </w:rPr>
        <w:t xml:space="preserve"> slots with a comb factor K=4.  If the carrier phase of the</w:t>
      </w:r>
      <w:r w:rsidR="008A67CA">
        <w:rPr>
          <w:sz w:val="22"/>
          <w:szCs w:val="22"/>
        </w:rPr>
        <w:t xml:space="preserve"> DL-PRS</w:t>
      </w:r>
      <w:r w:rsidRPr="006660DD">
        <w:rPr>
          <w:sz w:val="22"/>
          <w:szCs w:val="22"/>
        </w:rPr>
        <w:t xml:space="preserve"> for TRP 1 in the first slot is equal to </w:t>
      </w:r>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1,UE</m:t>
            </m:r>
          </m:sub>
          <m:sup>
            <m:r>
              <w:rPr>
                <w:rFonts w:ascii="Cambria Math" w:hAnsi="Cambria Math"/>
                <w:sz w:val="22"/>
                <w:szCs w:val="22"/>
              </w:rPr>
              <m:t>0</m:t>
            </m:r>
          </m:sup>
        </m:sSubSup>
      </m:oMath>
      <w:r w:rsidRPr="006660DD">
        <w:rPr>
          <w:sz w:val="22"/>
          <w:szCs w:val="22"/>
        </w:rPr>
        <w:t>, then the phase of the next</w:t>
      </w:r>
      <w:r w:rsidR="008A67CA">
        <w:rPr>
          <w:sz w:val="22"/>
          <w:szCs w:val="22"/>
        </w:rPr>
        <w:t xml:space="preserve"> DL-PRS</w:t>
      </w:r>
      <w:r w:rsidRPr="006660DD">
        <w:rPr>
          <w:sz w:val="22"/>
          <w:szCs w:val="22"/>
        </w:rPr>
        <w:t xml:space="preserve"> </w:t>
      </w:r>
      <w:r w:rsidRPr="006660DD">
        <w:rPr>
          <w:sz w:val="22"/>
          <w:szCs w:val="22"/>
        </w:rPr>
        <w:lastRenderedPageBreak/>
        <w:t xml:space="preserve">symbols from TRP 1 </w:t>
      </w:r>
      <w:r w:rsidR="00073F05">
        <w:rPr>
          <w:sz w:val="22"/>
          <w:szCs w:val="22"/>
        </w:rPr>
        <w:t xml:space="preserve">four and eight symbols later </w:t>
      </w:r>
      <w:r w:rsidRPr="00073F05">
        <w:rPr>
          <w:sz w:val="22"/>
          <w:szCs w:val="22"/>
        </w:rPr>
        <w:t xml:space="preserve">will be given by </w:t>
      </w:r>
      <w:bookmarkStart w:id="4" w:name="_Hlk166332333"/>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1,UE</m:t>
            </m:r>
          </m:sub>
          <m:sup>
            <m:r>
              <w:rPr>
                <w:rFonts w:ascii="Cambria Math" w:hAnsi="Cambria Math"/>
                <w:sz w:val="22"/>
                <w:szCs w:val="22"/>
              </w:rPr>
              <m:t>0</m:t>
            </m:r>
          </m:sup>
        </m:sSubSup>
        <m:r>
          <w:rPr>
            <w:rFonts w:ascii="Cambria Math" w:eastAsiaTheme="minorEastAsia" w:hAnsi="Cambria Math"/>
            <w:sz w:val="22"/>
            <w:szCs w:val="22"/>
          </w:rPr>
          <m:t xml:space="preserve">+4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1,UE</m:t>
            </m:r>
          </m:sub>
        </m:sSub>
      </m:oMath>
      <w:bookmarkEnd w:id="4"/>
      <w:r w:rsidRPr="00073F05">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1,UE</m:t>
            </m:r>
          </m:sub>
          <m:sup>
            <m:r>
              <w:rPr>
                <w:rFonts w:ascii="Cambria Math" w:hAnsi="Cambria Math"/>
                <w:sz w:val="22"/>
                <w:szCs w:val="22"/>
              </w:rPr>
              <m:t>0</m:t>
            </m:r>
          </m:sup>
        </m:sSubSup>
        <m:r>
          <w:rPr>
            <w:rFonts w:ascii="Cambria Math" w:eastAsiaTheme="minorEastAsia" w:hAnsi="Cambria Math"/>
            <w:sz w:val="22"/>
            <w:szCs w:val="22"/>
          </w:rPr>
          <m:t xml:space="preserve">+8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1,UE</m:t>
            </m:r>
          </m:sub>
        </m:sSub>
      </m:oMath>
      <w:r w:rsidRPr="00073F05">
        <w:rPr>
          <w:sz w:val="22"/>
          <w:szCs w:val="22"/>
        </w:rPr>
        <w:t>, respectively.  For the last</w:t>
      </w:r>
      <w:r w:rsidR="008A67CA">
        <w:rPr>
          <w:sz w:val="22"/>
          <w:szCs w:val="22"/>
        </w:rPr>
        <w:t xml:space="preserve"> DL-PRS</w:t>
      </w:r>
      <w:r w:rsidRPr="00073F05">
        <w:rPr>
          <w:sz w:val="22"/>
          <w:szCs w:val="22"/>
        </w:rPr>
        <w:t xml:space="preserve"> symbol in the fourth slot, the phase will be </w:t>
      </w:r>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1,UE</m:t>
            </m:r>
          </m:sub>
          <m:sup>
            <m:r>
              <w:rPr>
                <w:rFonts w:ascii="Cambria Math" w:hAnsi="Cambria Math"/>
                <w:sz w:val="22"/>
                <w:szCs w:val="22"/>
              </w:rPr>
              <m:t>0</m:t>
            </m:r>
          </m:sup>
        </m:sSubSup>
        <m:r>
          <w:rPr>
            <w:rFonts w:ascii="Cambria Math" w:eastAsiaTheme="minorEastAsia" w:hAnsi="Cambria Math"/>
            <w:sz w:val="22"/>
            <w:szCs w:val="22"/>
          </w:rPr>
          <m:t xml:space="preserve">+50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1,UE</m:t>
            </m:r>
          </m:sub>
        </m:sSub>
      </m:oMath>
      <w:r w:rsidRPr="00073F05">
        <w:rPr>
          <w:sz w:val="22"/>
          <w:szCs w:val="22"/>
        </w:rPr>
        <w:t xml:space="preserve">. </w:t>
      </w:r>
      <w:r w:rsidR="00073F05">
        <w:rPr>
          <w:sz w:val="22"/>
          <w:szCs w:val="22"/>
        </w:rPr>
        <w:t>As above, for a 1 GHz carrier, the maximum frequency error is 100 Hz.  Since the serving cell tracked by the UE can have a frequency offset in the opposite direction of 100 Hz, the maximum total frequency offset for a 1 GHz carrier is 200 Hz.  As above, f</w:t>
      </w:r>
      <w:r w:rsidRPr="00073F05">
        <w:rPr>
          <w:sz w:val="22"/>
          <w:szCs w:val="22"/>
        </w:rPr>
        <w:t>or a subcarrier spacing</w:t>
      </w:r>
      <w:r w:rsidR="00E51B96">
        <w:rPr>
          <w:sz w:val="22"/>
          <w:szCs w:val="22"/>
        </w:rPr>
        <w:t xml:space="preserve"> of</w:t>
      </w:r>
      <w:r w:rsidRPr="00073F05">
        <w:rPr>
          <w:sz w:val="22"/>
          <w:szCs w:val="22"/>
        </w:rPr>
        <w:t xml:space="preserve"> 15 kHz, </w:t>
      </w:r>
      <w:r w:rsidR="00073F05">
        <w:rPr>
          <w:sz w:val="22"/>
          <w:szCs w:val="22"/>
        </w:rPr>
        <w:t>the maximum</w:t>
      </w:r>
      <w:r w:rsidRPr="00073F05">
        <w:rPr>
          <w:sz w:val="22"/>
          <w:szCs w:val="22"/>
        </w:rPr>
        <w:t xml:space="preserve"> </w:t>
      </w:r>
      <w:r w:rsidRPr="00073F05">
        <w:rPr>
          <w:i/>
          <w:iCs/>
          <w:sz w:val="22"/>
          <w:szCs w:val="22"/>
        </w:rPr>
        <w:t>symbol-to-symbol phase rotation is 5.1 degrees</w:t>
      </w:r>
      <w:r w:rsidRPr="00073F05">
        <w:rPr>
          <w:sz w:val="22"/>
          <w:szCs w:val="22"/>
        </w:rPr>
        <w:t>.  As a result, the reference symbol phase can change by 20 degrees from the first</w:t>
      </w:r>
      <w:r w:rsidR="008A67CA">
        <w:rPr>
          <w:sz w:val="22"/>
          <w:szCs w:val="22"/>
        </w:rPr>
        <w:t xml:space="preserve"> DL-PRS</w:t>
      </w:r>
      <w:r w:rsidRPr="00073F05">
        <w:rPr>
          <w:sz w:val="22"/>
          <w:szCs w:val="22"/>
        </w:rPr>
        <w:t xml:space="preserve"> reference symbol from TRP 1 to the second and can change by 40 degrees within the subframe.  Across the four slots in the Figure 6 below, the reference symbol phase for TRP 1 can change by 250 degrees from the first</w:t>
      </w:r>
      <w:r w:rsidR="008A67CA">
        <w:rPr>
          <w:sz w:val="22"/>
          <w:szCs w:val="22"/>
        </w:rPr>
        <w:t xml:space="preserve"> DL-PRS</w:t>
      </w:r>
      <w:r w:rsidR="00073F05">
        <w:rPr>
          <w:sz w:val="22"/>
          <w:szCs w:val="22"/>
        </w:rPr>
        <w:t xml:space="preserve"> </w:t>
      </w:r>
      <w:r w:rsidRPr="00073F05">
        <w:rPr>
          <w:sz w:val="22"/>
          <w:szCs w:val="22"/>
        </w:rPr>
        <w:t>reference symbol of the first slot to the last</w:t>
      </w:r>
      <w:r w:rsidR="008A67CA">
        <w:rPr>
          <w:sz w:val="22"/>
          <w:szCs w:val="22"/>
        </w:rPr>
        <w:t xml:space="preserve"> DL-PRS</w:t>
      </w:r>
      <w:r w:rsidR="00073F05">
        <w:rPr>
          <w:sz w:val="22"/>
          <w:szCs w:val="22"/>
        </w:rPr>
        <w:t xml:space="preserve"> </w:t>
      </w:r>
      <w:r w:rsidRPr="00073F05">
        <w:rPr>
          <w:sz w:val="22"/>
          <w:szCs w:val="22"/>
        </w:rPr>
        <w:t xml:space="preserve">reference symbol of the last slot. </w:t>
      </w:r>
    </w:p>
    <w:p w14:paraId="77F12669" w14:textId="40A6D8BC" w:rsidR="006660DD" w:rsidRPr="003C50CC" w:rsidRDefault="003C50CC" w:rsidP="000B437E">
      <w:pPr>
        <w:spacing w:after="240"/>
        <w:jc w:val="center"/>
        <w:rPr>
          <w:sz w:val="22"/>
          <w:szCs w:val="22"/>
        </w:rPr>
      </w:pPr>
      <w:r w:rsidRPr="003C50CC">
        <w:rPr>
          <w:noProof/>
        </w:rPr>
        <w:drawing>
          <wp:inline distT="0" distB="0" distL="0" distR="0" wp14:anchorId="736BBB16" wp14:editId="3012BA66">
            <wp:extent cx="5943600" cy="952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952500"/>
                    </a:xfrm>
                    <a:prstGeom prst="rect">
                      <a:avLst/>
                    </a:prstGeom>
                    <a:noFill/>
                    <a:ln>
                      <a:noFill/>
                    </a:ln>
                  </pic:spPr>
                </pic:pic>
              </a:graphicData>
            </a:graphic>
          </wp:inline>
        </w:drawing>
      </w:r>
    </w:p>
    <w:p w14:paraId="795B8147" w14:textId="7B1C1C96" w:rsidR="006660DD" w:rsidRPr="006660DD" w:rsidRDefault="006660DD" w:rsidP="00073F05">
      <w:pPr>
        <w:pStyle w:val="ListParagraph"/>
        <w:spacing w:after="240"/>
        <w:ind w:left="425"/>
        <w:rPr>
          <w:rFonts w:eastAsia="MS Gothic"/>
          <w:sz w:val="22"/>
          <w:szCs w:val="22"/>
          <w:lang w:eastAsia="ja-JP"/>
        </w:rPr>
      </w:pPr>
      <w:r w:rsidRPr="006660DD">
        <w:rPr>
          <w:rFonts w:eastAsia="MS Gothic"/>
          <w:b/>
          <w:bCs/>
          <w:sz w:val="22"/>
          <w:szCs w:val="22"/>
          <w:lang w:eastAsia="ja-JP"/>
        </w:rPr>
        <w:t>Figure 2:</w:t>
      </w:r>
      <w:r w:rsidRPr="006660DD">
        <w:rPr>
          <w:rFonts w:eastAsia="MS Gothic"/>
          <w:sz w:val="22"/>
          <w:szCs w:val="22"/>
          <w:lang w:eastAsia="ja-JP"/>
        </w:rPr>
        <w:t xml:space="preserve">  Reference symbol </w:t>
      </w:r>
      <w:r w:rsidR="003C50CC">
        <w:rPr>
          <w:rFonts w:eastAsia="MS Gothic"/>
          <w:sz w:val="22"/>
          <w:szCs w:val="22"/>
          <w:lang w:eastAsia="ja-JP"/>
        </w:rPr>
        <w:t xml:space="preserve">carrier </w:t>
      </w:r>
      <w:r w:rsidRPr="006660DD">
        <w:rPr>
          <w:rFonts w:eastAsia="MS Gothic"/>
          <w:sz w:val="22"/>
          <w:szCs w:val="22"/>
          <w:lang w:eastAsia="ja-JP"/>
        </w:rPr>
        <w:t>phase progression over 4 slots with carrier frequency offset</w:t>
      </w:r>
    </w:p>
    <w:p w14:paraId="47737B65" w14:textId="65514550" w:rsidR="005E1131" w:rsidRDefault="005E1131" w:rsidP="005E1131">
      <w:pPr>
        <w:spacing w:after="120"/>
        <w:ind w:left="1440" w:hanging="1440"/>
        <w:jc w:val="both"/>
        <w:rPr>
          <w:sz w:val="22"/>
          <w:szCs w:val="22"/>
        </w:rPr>
      </w:pPr>
      <w:r w:rsidRPr="005D2C39">
        <w:rPr>
          <w:b/>
          <w:bCs/>
          <w:sz w:val="22"/>
          <w:szCs w:val="22"/>
        </w:rPr>
        <w:t xml:space="preserve">Observation </w:t>
      </w:r>
      <w:r>
        <w:rPr>
          <w:b/>
          <w:bCs/>
          <w:sz w:val="22"/>
          <w:szCs w:val="22"/>
        </w:rPr>
        <w:t>2</w:t>
      </w:r>
      <w:r w:rsidRPr="005D2C39">
        <w:rPr>
          <w:b/>
          <w:bCs/>
          <w:sz w:val="22"/>
          <w:szCs w:val="22"/>
        </w:rPr>
        <w:t>:</w:t>
      </w:r>
      <w:r w:rsidR="002C6B30">
        <w:rPr>
          <w:b/>
          <w:bCs/>
          <w:sz w:val="22"/>
          <w:szCs w:val="22"/>
        </w:rPr>
        <w:t xml:space="preserve"> </w:t>
      </w:r>
      <w:r w:rsidR="002C6B30">
        <w:rPr>
          <w:sz w:val="22"/>
          <w:szCs w:val="22"/>
        </w:rPr>
        <w:t>With</w:t>
      </w:r>
      <w:r w:rsidR="008A67CA">
        <w:rPr>
          <w:sz w:val="22"/>
          <w:szCs w:val="22"/>
        </w:rPr>
        <w:t xml:space="preserve"> DL-PRS</w:t>
      </w:r>
      <w:r w:rsidR="002C6B30">
        <w:rPr>
          <w:sz w:val="22"/>
          <w:szCs w:val="22"/>
        </w:rPr>
        <w:t xml:space="preserve"> repetition, the variation of the reference symbol carrier phase is scaled by the number of consecutive slots.</w:t>
      </w:r>
    </w:p>
    <w:p w14:paraId="6DD7536F" w14:textId="762A75F4" w:rsidR="00450225" w:rsidRPr="002C6B30" w:rsidRDefault="002C6B30" w:rsidP="002C6B30">
      <w:pPr>
        <w:spacing w:after="120"/>
        <w:ind w:left="1440" w:hanging="1440"/>
        <w:jc w:val="both"/>
        <w:rPr>
          <w:sz w:val="22"/>
          <w:szCs w:val="22"/>
        </w:rPr>
      </w:pPr>
      <w:r w:rsidRPr="005D2C39">
        <w:rPr>
          <w:b/>
          <w:bCs/>
          <w:sz w:val="22"/>
          <w:szCs w:val="22"/>
        </w:rPr>
        <w:t xml:space="preserve">Observation </w:t>
      </w:r>
      <w:r>
        <w:rPr>
          <w:b/>
          <w:bCs/>
          <w:sz w:val="22"/>
          <w:szCs w:val="22"/>
        </w:rPr>
        <w:t>3</w:t>
      </w:r>
      <w:r w:rsidRPr="005D2C39">
        <w:rPr>
          <w:b/>
          <w:bCs/>
          <w:sz w:val="22"/>
          <w:szCs w:val="22"/>
        </w:rPr>
        <w:t>:</w:t>
      </w:r>
      <w:r>
        <w:rPr>
          <w:sz w:val="22"/>
          <w:szCs w:val="22"/>
        </w:rPr>
        <w:tab/>
        <w:t>If the UE and the PRU take measurements in different slots, it is not clear that the LMF can meaningfully combine these measurements to get a carrier phase-based positioning estimate.</w:t>
      </w:r>
    </w:p>
    <w:p w14:paraId="7B3621B1" w14:textId="77777777" w:rsidR="00266340" w:rsidRDefault="00266340" w:rsidP="00266340">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Referring Carrier Phase Measurements to a Common Reference Time</w:t>
      </w:r>
    </w:p>
    <w:p w14:paraId="44FE22CE" w14:textId="0CF73AFF" w:rsidR="00FC3B9D" w:rsidRDefault="00FC3B9D" w:rsidP="00FC3B9D">
      <w:pPr>
        <w:spacing w:after="120"/>
        <w:jc w:val="both"/>
        <w:rPr>
          <w:sz w:val="22"/>
          <w:szCs w:val="22"/>
        </w:rPr>
      </w:pPr>
      <w:r w:rsidRPr="003F6EAB">
        <w:rPr>
          <w:sz w:val="22"/>
          <w:szCs w:val="22"/>
        </w:rPr>
        <w:t>Above, it</w:t>
      </w:r>
      <w:r w:rsidR="00B34650" w:rsidRPr="003F6EAB">
        <w:rPr>
          <w:sz w:val="22"/>
          <w:szCs w:val="22"/>
        </w:rPr>
        <w:t xml:space="preserve"> is proposed that the carrier phase definition be clarified to indicate that </w:t>
      </w:r>
      <w:r w:rsidRPr="003F6EAB">
        <w:rPr>
          <w:sz w:val="22"/>
          <w:szCs w:val="22"/>
        </w:rPr>
        <w:t>carrier phase is defined at</w:t>
      </w:r>
      <w:r>
        <w:rPr>
          <w:sz w:val="22"/>
          <w:szCs w:val="22"/>
        </w:rPr>
        <w:t xml:space="preserve"> a specific location (symbol) within the slot.  If only the</w:t>
      </w:r>
      <w:r w:rsidR="008A67CA">
        <w:rPr>
          <w:sz w:val="22"/>
          <w:szCs w:val="22"/>
        </w:rPr>
        <w:t xml:space="preserve"> DL-PRS</w:t>
      </w:r>
      <w:r>
        <w:rPr>
          <w:sz w:val="22"/>
          <w:szCs w:val="22"/>
        </w:rPr>
        <w:t xml:space="preserve"> in the </w:t>
      </w:r>
      <w:proofErr w:type="spellStart"/>
      <w:r>
        <w:rPr>
          <w:sz w:val="22"/>
          <w:szCs w:val="22"/>
        </w:rPr>
        <w:t>center</w:t>
      </w:r>
      <w:proofErr w:type="spellEnd"/>
      <w:r>
        <w:rPr>
          <w:sz w:val="22"/>
          <w:szCs w:val="22"/>
        </w:rPr>
        <w:t xml:space="preserve"> subcarrier are used to estimate the reference symbol carrier phase, and if the</w:t>
      </w:r>
      <w:r w:rsidR="008A67CA">
        <w:rPr>
          <w:sz w:val="22"/>
          <w:szCs w:val="22"/>
        </w:rPr>
        <w:t xml:space="preserve"> DL-PRS</w:t>
      </w:r>
      <w:r>
        <w:rPr>
          <w:sz w:val="22"/>
          <w:szCs w:val="22"/>
        </w:rPr>
        <w:t xml:space="preserve"> for a given TRP is not located in </w:t>
      </w:r>
      <w:r w:rsidR="000B437E">
        <w:rPr>
          <w:sz w:val="22"/>
          <w:szCs w:val="22"/>
        </w:rPr>
        <w:t>the defined</w:t>
      </w:r>
      <w:r>
        <w:rPr>
          <w:sz w:val="22"/>
          <w:szCs w:val="22"/>
        </w:rPr>
        <w:t xml:space="preserve"> location, then it will be </w:t>
      </w:r>
      <w:r w:rsidRPr="003F6EAB">
        <w:rPr>
          <w:sz w:val="22"/>
          <w:szCs w:val="22"/>
        </w:rPr>
        <w:t>necessary</w:t>
      </w:r>
      <w:r>
        <w:rPr>
          <w:sz w:val="22"/>
          <w:szCs w:val="22"/>
        </w:rPr>
        <w:t xml:space="preserve"> to refer the reference symbol carrier phase measurement to the defined location by removing the phase rotation due to the carrier frequency offset.  Referring carrier phase measurements to a common reference location has been proposed previously in </w:t>
      </w:r>
      <w:r w:rsidRPr="00E51B96">
        <w:rPr>
          <w:sz w:val="22"/>
          <w:szCs w:val="22"/>
        </w:rPr>
        <w:t>[</w:t>
      </w:r>
      <w:r w:rsidR="00290C11" w:rsidRPr="00E51B96">
        <w:rPr>
          <w:sz w:val="22"/>
          <w:szCs w:val="22"/>
        </w:rPr>
        <w:t>3</w:t>
      </w:r>
      <w:r w:rsidR="00E51B96" w:rsidRPr="00E51B96">
        <w:rPr>
          <w:sz w:val="22"/>
          <w:szCs w:val="22"/>
        </w:rPr>
        <w:t>-6</w:t>
      </w:r>
      <w:r w:rsidRPr="00E51B96">
        <w:rPr>
          <w:sz w:val="22"/>
          <w:szCs w:val="22"/>
        </w:rPr>
        <w:t>]</w:t>
      </w:r>
      <w:r>
        <w:rPr>
          <w:sz w:val="22"/>
          <w:szCs w:val="22"/>
        </w:rPr>
        <w:t>.</w:t>
      </w:r>
    </w:p>
    <w:p w14:paraId="61FD9845" w14:textId="0EC94B24" w:rsidR="00FC3B9D" w:rsidRDefault="00FC3B9D" w:rsidP="00FC3B9D">
      <w:pPr>
        <w:spacing w:after="120"/>
        <w:jc w:val="both"/>
        <w:rPr>
          <w:sz w:val="22"/>
          <w:szCs w:val="22"/>
        </w:rPr>
      </w:pPr>
      <w:r>
        <w:rPr>
          <w:sz w:val="22"/>
          <w:szCs w:val="22"/>
        </w:rPr>
        <w:t>In the case of</w:t>
      </w:r>
      <w:r w:rsidR="008A67CA">
        <w:rPr>
          <w:sz w:val="22"/>
          <w:szCs w:val="22"/>
        </w:rPr>
        <w:t xml:space="preserve"> DL-PRS</w:t>
      </w:r>
      <w:r>
        <w:rPr>
          <w:sz w:val="22"/>
          <w:szCs w:val="22"/>
        </w:rPr>
        <w:t xml:space="preserve"> repetition, it may be that the UE and PRU take measurements in different slots. </w:t>
      </w:r>
      <w:r w:rsidR="000C413D">
        <w:rPr>
          <w:sz w:val="22"/>
          <w:szCs w:val="22"/>
        </w:rPr>
        <w:t>In this case</w:t>
      </w:r>
      <w:r>
        <w:rPr>
          <w:sz w:val="22"/>
          <w:szCs w:val="22"/>
        </w:rPr>
        <w:t>, depending on the carrier</w:t>
      </w:r>
      <w:r w:rsidR="000C413D">
        <w:rPr>
          <w:sz w:val="22"/>
          <w:szCs w:val="22"/>
        </w:rPr>
        <w:t xml:space="preserve"> frequency offset, it may not be possible for the LMF to meaningfully combines these measurements. However, regardless of where the measurements are taken within the multiple slots, the measurements can be referred to a common reference time by removing the phase rotation due to the carrier frequency offset, with the result that the referred measurements can be combined by the LMF as if all measurements were taken at the </w:t>
      </w:r>
      <w:r w:rsidR="00C22D6E">
        <w:rPr>
          <w:sz w:val="22"/>
          <w:szCs w:val="22"/>
        </w:rPr>
        <w:t>common reference</w:t>
      </w:r>
      <w:r w:rsidR="000C413D">
        <w:rPr>
          <w:sz w:val="22"/>
          <w:szCs w:val="22"/>
        </w:rPr>
        <w:t xml:space="preserve"> time.</w:t>
      </w:r>
    </w:p>
    <w:p w14:paraId="06988A3F" w14:textId="290ECAEE" w:rsidR="008115B8" w:rsidRDefault="000C413D" w:rsidP="008115B8">
      <w:pPr>
        <w:spacing w:after="120"/>
        <w:jc w:val="both"/>
        <w:rPr>
          <w:sz w:val="22"/>
          <w:szCs w:val="22"/>
        </w:rPr>
      </w:pPr>
      <w:r>
        <w:rPr>
          <w:sz w:val="22"/>
          <w:szCs w:val="22"/>
        </w:rPr>
        <w:t>Here we consider the general case</w:t>
      </w:r>
      <w:r w:rsidR="00DD36DF">
        <w:rPr>
          <w:sz w:val="22"/>
          <w:szCs w:val="22"/>
        </w:rPr>
        <w:t xml:space="preserve"> in which the UE and PRU measurements are taken in different slots</w:t>
      </w:r>
      <w:r w:rsidR="00C22D6E">
        <w:rPr>
          <w:sz w:val="22"/>
          <w:szCs w:val="22"/>
        </w:rPr>
        <w:t>,</w:t>
      </w:r>
      <w:r w:rsidR="00DD36DF">
        <w:rPr>
          <w:sz w:val="22"/>
          <w:szCs w:val="22"/>
        </w:rPr>
        <w:t xml:space="preserve"> </w:t>
      </w:r>
      <w:r w:rsidR="00C22D6E">
        <w:rPr>
          <w:sz w:val="22"/>
          <w:szCs w:val="22"/>
        </w:rPr>
        <w:t>a</w:t>
      </w:r>
      <w:r w:rsidR="008115B8">
        <w:rPr>
          <w:sz w:val="22"/>
          <w:szCs w:val="22"/>
        </w:rPr>
        <w:t xml:space="preserve">s </w:t>
      </w:r>
      <w:r w:rsidR="008115B8" w:rsidRPr="008F52B3">
        <w:rPr>
          <w:sz w:val="22"/>
          <w:szCs w:val="22"/>
        </w:rPr>
        <w:t xml:space="preserve">shown in Figure </w:t>
      </w:r>
      <w:r w:rsidR="00C22D6E">
        <w:rPr>
          <w:sz w:val="22"/>
          <w:szCs w:val="22"/>
        </w:rPr>
        <w:t>3</w:t>
      </w:r>
      <w:r w:rsidR="008115B8" w:rsidRPr="008F52B3">
        <w:rPr>
          <w:sz w:val="22"/>
          <w:szCs w:val="22"/>
        </w:rPr>
        <w:t xml:space="preserve"> below. In this figure,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00C22D6E" w:rsidRPr="008F52B3">
        <w:rPr>
          <w:sz w:val="22"/>
          <w:szCs w:val="22"/>
        </w:rPr>
        <w:t xml:space="preserve"> </w:t>
      </w:r>
      <w:r w:rsidR="00C22D6E">
        <w:rPr>
          <w:sz w:val="22"/>
          <w:szCs w:val="22"/>
        </w:rPr>
        <w:t>denotes the</w:t>
      </w:r>
      <w:r w:rsidR="003F6EAB">
        <w:rPr>
          <w:sz w:val="22"/>
          <w:szCs w:val="22"/>
        </w:rPr>
        <w:t xml:space="preserve"> symbol</w:t>
      </w:r>
      <w:r w:rsidR="00C22D6E">
        <w:rPr>
          <w:sz w:val="22"/>
          <w:szCs w:val="22"/>
        </w:rPr>
        <w:t xml:space="preserve"> index of the reference location</w:t>
      </w:r>
      <w:r w:rsidR="005866A0">
        <w:rPr>
          <w:sz w:val="22"/>
          <w:szCs w:val="22"/>
        </w:rPr>
        <w:t>.</w:t>
      </w:r>
      <w:r w:rsidR="000E11A2">
        <w:rPr>
          <w:sz w:val="22"/>
          <w:szCs w:val="22"/>
        </w:rPr>
        <w:t xml:space="preserve"> </w:t>
      </w:r>
      <w:r w:rsidR="005866A0">
        <w:rPr>
          <w:sz w:val="22"/>
          <w:szCs w:val="22"/>
        </w:rPr>
        <w:t>The</w:t>
      </w:r>
      <w:r w:rsidR="008115B8" w:rsidRPr="008F52B3">
        <w:rPr>
          <w:sz w:val="22"/>
          <w:szCs w:val="22"/>
        </w:rPr>
        <w:t xml:space="preserve"> symbol indices </w:t>
      </w:r>
      <m:oMath>
        <m:r>
          <w:rPr>
            <w:rFonts w:ascii="Cambria Math" w:hAnsi="Cambria Math"/>
            <w:sz w:val="22"/>
            <w:szCs w:val="22"/>
          </w:rPr>
          <m:t>k</m:t>
        </m:r>
      </m:oMath>
      <w:r w:rsidR="005866A0">
        <w:rPr>
          <w:sz w:val="22"/>
          <w:szCs w:val="22"/>
        </w:rPr>
        <w:t>,</w:t>
      </w:r>
      <w:r w:rsidR="008115B8" w:rsidRPr="008F52B3">
        <w:rPr>
          <w:sz w:val="22"/>
          <w:szCs w:val="22"/>
        </w:rPr>
        <w:t xml:space="preserve">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oMath>
      <w:r w:rsidR="005866A0">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005866A0">
        <w:rPr>
          <w:sz w:val="22"/>
          <w:szCs w:val="22"/>
        </w:rPr>
        <w:t xml:space="preserve"> </w:t>
      </w:r>
      <w:r w:rsidR="008115B8" w:rsidRPr="008F52B3">
        <w:rPr>
          <w:sz w:val="22"/>
          <w:szCs w:val="22"/>
        </w:rPr>
        <w:t>can be any integer</w:t>
      </w:r>
      <w:r w:rsidR="00C22D6E">
        <w:rPr>
          <w:sz w:val="22"/>
          <w:szCs w:val="22"/>
        </w:rPr>
        <w:t>s</w:t>
      </w:r>
      <w:r w:rsidR="005866A0">
        <w:rPr>
          <w:sz w:val="22"/>
          <w:szCs w:val="22"/>
        </w:rPr>
        <w:t>,</w:t>
      </w:r>
      <w:r w:rsidR="00C22D6E">
        <w:rPr>
          <w:sz w:val="22"/>
          <w:szCs w:val="22"/>
        </w:rPr>
        <w:t xml:space="preserve"> </w:t>
      </w:r>
      <w:r w:rsidR="008115B8" w:rsidRPr="008F52B3">
        <w:rPr>
          <w:sz w:val="22"/>
          <w:szCs w:val="22"/>
        </w:rPr>
        <w:t>are not limited to the number of symbols per slot</w:t>
      </w:r>
      <w:r w:rsidR="005866A0">
        <w:rPr>
          <w:sz w:val="22"/>
          <w:szCs w:val="22"/>
        </w:rPr>
        <w:t xml:space="preserve"> </w:t>
      </w:r>
      <w:r w:rsidR="008115B8" w:rsidRPr="008F52B3">
        <w:rPr>
          <w:sz w:val="22"/>
          <w:szCs w:val="22"/>
        </w:rPr>
        <w:t>and are used to number the symbols consecutively across slot boundaries.</w:t>
      </w:r>
      <w:r w:rsidR="005866A0">
        <w:rPr>
          <w:sz w:val="22"/>
          <w:szCs w:val="22"/>
        </w:rPr>
        <w:t xml:space="preserve">  </w:t>
      </w:r>
      <w:r w:rsidR="005866A0" w:rsidRPr="008F52B3">
        <w:rPr>
          <w:sz w:val="22"/>
          <w:szCs w:val="22"/>
        </w:rPr>
        <w:t xml:space="preserve">In this example, the carrier phase measurements will be referred to symbol in a slot between slot 1 and slot </w:t>
      </w:r>
      <w:r w:rsidR="005866A0" w:rsidRPr="008F52B3">
        <w:rPr>
          <w:i/>
          <w:iCs/>
          <w:sz w:val="22"/>
          <w:szCs w:val="22"/>
        </w:rPr>
        <w:t>N</w:t>
      </w:r>
      <w:r w:rsidR="005866A0" w:rsidRPr="008F52B3">
        <w:rPr>
          <w:sz w:val="22"/>
          <w:szCs w:val="22"/>
        </w:rPr>
        <w:t>+1.</w:t>
      </w:r>
    </w:p>
    <w:p w14:paraId="24FC4A43" w14:textId="77777777" w:rsidR="008115B8" w:rsidRPr="008F52B3" w:rsidRDefault="008115B8" w:rsidP="008115B8">
      <w:pPr>
        <w:spacing w:after="120"/>
        <w:jc w:val="both"/>
        <w:rPr>
          <w:sz w:val="22"/>
          <w:szCs w:val="22"/>
        </w:rPr>
      </w:pPr>
      <w:r w:rsidRPr="008C00D8">
        <w:rPr>
          <w:noProof/>
        </w:rPr>
        <w:lastRenderedPageBreak/>
        <w:drawing>
          <wp:inline distT="0" distB="0" distL="0" distR="0" wp14:anchorId="00B12D20" wp14:editId="281CE49E">
            <wp:extent cx="5943600" cy="1152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152525"/>
                    </a:xfrm>
                    <a:prstGeom prst="rect">
                      <a:avLst/>
                    </a:prstGeom>
                    <a:noFill/>
                    <a:ln>
                      <a:noFill/>
                    </a:ln>
                  </pic:spPr>
                </pic:pic>
              </a:graphicData>
            </a:graphic>
          </wp:inline>
        </w:drawing>
      </w:r>
    </w:p>
    <w:p w14:paraId="7DB9A8BB" w14:textId="0043F896" w:rsidR="008115B8" w:rsidRDefault="008115B8" w:rsidP="008115B8">
      <w:pPr>
        <w:spacing w:after="120"/>
        <w:jc w:val="center"/>
        <w:rPr>
          <w:rFonts w:eastAsia="MS Gothic"/>
          <w:sz w:val="22"/>
          <w:szCs w:val="22"/>
          <w:lang w:eastAsia="ja-JP"/>
        </w:rPr>
      </w:pPr>
      <w:r w:rsidRPr="008F52B3">
        <w:rPr>
          <w:rFonts w:eastAsia="MS Gothic"/>
          <w:b/>
          <w:bCs/>
          <w:sz w:val="22"/>
          <w:szCs w:val="22"/>
          <w:lang w:eastAsia="ja-JP"/>
        </w:rPr>
        <w:t xml:space="preserve">Figure </w:t>
      </w:r>
      <w:r>
        <w:rPr>
          <w:rFonts w:eastAsia="MS Gothic"/>
          <w:b/>
          <w:bCs/>
          <w:sz w:val="22"/>
          <w:szCs w:val="22"/>
          <w:lang w:eastAsia="ja-JP"/>
        </w:rPr>
        <w:t>3</w:t>
      </w:r>
      <w:r w:rsidRPr="008F52B3">
        <w:rPr>
          <w:rFonts w:eastAsia="MS Gothic"/>
          <w:b/>
          <w:bCs/>
          <w:sz w:val="22"/>
          <w:szCs w:val="22"/>
          <w:lang w:eastAsia="ja-JP"/>
        </w:rPr>
        <w:t>:</w:t>
      </w:r>
      <w:r w:rsidRPr="008F52B3">
        <w:rPr>
          <w:rFonts w:eastAsia="MS Gothic"/>
          <w:sz w:val="22"/>
          <w:szCs w:val="22"/>
          <w:lang w:eastAsia="ja-JP"/>
        </w:rPr>
        <w:t xml:space="preserve"> PRU and UE DL-PRS measurements referred to a common reference time </w:t>
      </w:r>
    </w:p>
    <w:p w14:paraId="2C3A8E09" w14:textId="4625F9B6" w:rsidR="008115B8" w:rsidRPr="008F52B3" w:rsidRDefault="008115B8" w:rsidP="00F06D4E">
      <w:pPr>
        <w:pStyle w:val="ListParagraph"/>
        <w:spacing w:after="0"/>
        <w:ind w:left="0"/>
        <w:contextualSpacing w:val="0"/>
        <w:jc w:val="both"/>
        <w:rPr>
          <w:sz w:val="22"/>
          <w:szCs w:val="22"/>
        </w:rPr>
      </w:pPr>
      <w:r>
        <w:rPr>
          <w:sz w:val="22"/>
          <w:szCs w:val="22"/>
        </w:rPr>
        <w:t>Let</w:t>
      </w:r>
      <w:r w:rsidRPr="008F52B3">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oMath>
      <w:r w:rsidRPr="008F52B3">
        <w:rPr>
          <w:sz w:val="22"/>
          <w:szCs w:val="22"/>
        </w:rPr>
        <w:t xml:space="preserve"> denote the UE’s carrier phase measurement for the DL-PRS received from the </w:t>
      </w:r>
      <w:r w:rsidRPr="008F52B3">
        <w:rPr>
          <w:i/>
          <w:iCs/>
          <w:sz w:val="22"/>
          <w:szCs w:val="22"/>
        </w:rPr>
        <w:t>l</w:t>
      </w:r>
      <w:r w:rsidRPr="008F52B3">
        <w:rPr>
          <w:sz w:val="22"/>
          <w:szCs w:val="22"/>
        </w:rPr>
        <w:t>-</w:t>
      </w:r>
      <w:proofErr w:type="spellStart"/>
      <w:r w:rsidRPr="008F52B3">
        <w:rPr>
          <w:sz w:val="22"/>
          <w:szCs w:val="22"/>
        </w:rPr>
        <w:t>th</w:t>
      </w:r>
      <w:proofErr w:type="spellEnd"/>
      <w:r w:rsidRPr="008F52B3">
        <w:rPr>
          <w:sz w:val="22"/>
          <w:szCs w:val="22"/>
        </w:rPr>
        <w:t xml:space="preserve"> TRP in subcarrier </w:t>
      </w:r>
      <w:proofErr w:type="spellStart"/>
      <w:r w:rsidRPr="008F52B3">
        <w:rPr>
          <w:i/>
          <w:iCs/>
          <w:sz w:val="22"/>
          <w:szCs w:val="22"/>
        </w:rPr>
        <w:t>i</w:t>
      </w:r>
      <w:proofErr w:type="spellEnd"/>
      <w:r w:rsidRPr="008F52B3">
        <w:rPr>
          <w:sz w:val="22"/>
          <w:szCs w:val="22"/>
        </w:rPr>
        <w:t xml:space="preserve"> with symbol index </w:t>
      </w:r>
      <w:r w:rsidRPr="008F52B3">
        <w:rPr>
          <w:i/>
          <w:iCs/>
          <w:sz w:val="22"/>
          <w:szCs w:val="22"/>
        </w:rPr>
        <w:t>k</w:t>
      </w:r>
      <w:r w:rsidRPr="008F52B3">
        <w:rPr>
          <w:sz w:val="22"/>
          <w:szCs w:val="22"/>
        </w:rPr>
        <w:t xml:space="preserve">.  The </w:t>
      </w:r>
      <w:r w:rsidRPr="008F52B3">
        <w:rPr>
          <w:i/>
          <w:iCs/>
          <w:sz w:val="22"/>
          <w:szCs w:val="22"/>
        </w:rPr>
        <w:t>referred carrier phase measurement</w:t>
      </w:r>
      <w:r w:rsidRPr="008F52B3">
        <w:rPr>
          <w:sz w:val="22"/>
          <w:szCs w:val="22"/>
        </w:rPr>
        <w:t xml:space="preserve"> </w:t>
      </w:r>
      <w:r w:rsidR="00290C11">
        <w:rPr>
          <w:sz w:val="22"/>
          <w:szCs w:val="22"/>
        </w:rPr>
        <w:t>of</w:t>
      </w:r>
      <w:r w:rsidRPr="008F52B3">
        <w:rPr>
          <w:sz w:val="22"/>
          <w:szCs w:val="22"/>
        </w:rPr>
        <w:t xml:space="preserve"> the UE </w:t>
      </w:r>
      <w:r w:rsidR="00290C11">
        <w:rPr>
          <w:sz w:val="22"/>
          <w:szCs w:val="22"/>
        </w:rPr>
        <w:t xml:space="preserve">for the </w:t>
      </w:r>
      <w:r w:rsidR="00290C11" w:rsidRPr="00F06D4E">
        <w:rPr>
          <w:i/>
          <w:iCs/>
          <w:sz w:val="22"/>
          <w:szCs w:val="22"/>
        </w:rPr>
        <w:t>l</w:t>
      </w:r>
      <w:r w:rsidR="00290C11">
        <w:rPr>
          <w:sz w:val="22"/>
          <w:szCs w:val="22"/>
        </w:rPr>
        <w:t>-</w:t>
      </w:r>
      <w:proofErr w:type="spellStart"/>
      <w:r w:rsidR="00290C11">
        <w:rPr>
          <w:sz w:val="22"/>
          <w:szCs w:val="22"/>
        </w:rPr>
        <w:t>th</w:t>
      </w:r>
      <w:proofErr w:type="spellEnd"/>
      <w:r w:rsidR="00F06D4E">
        <w:rPr>
          <w:sz w:val="22"/>
          <w:szCs w:val="22"/>
        </w:rPr>
        <w:t xml:space="preserve"> TRP </w:t>
      </w:r>
      <w:r w:rsidRPr="008F52B3">
        <w:rPr>
          <w:sz w:val="22"/>
          <w:szCs w:val="22"/>
        </w:rPr>
        <w:t>is then given by</w:t>
      </w:r>
    </w:p>
    <w:p w14:paraId="5D67CAAE" w14:textId="1B8CC247" w:rsidR="008115B8" w:rsidRPr="00F06D4E" w:rsidRDefault="00000000" w:rsidP="00F06D4E">
      <w:pPr>
        <w:pStyle w:val="ListParagraph"/>
        <w:spacing w:after="120"/>
        <w:ind w:left="0"/>
        <w:contextualSpacing w:val="0"/>
        <w:jc w:val="both"/>
        <w:rPr>
          <w:sz w:val="22"/>
          <w:szCs w:val="22"/>
        </w:rPr>
      </w:pPr>
      <m:oMathPara>
        <m:oMathParaPr>
          <m:jc m:val="center"/>
        </m:oMathParaPr>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t>
                  </m:r>
                  <m:sSub>
                    <m:sSubPr>
                      <m:ctrlPr>
                        <w:rPr>
                          <w:rFonts w:ascii="Cambria Math" w:eastAsia="SimSun"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
                <m:sSubPr>
                  <m:ctrlPr>
                    <w:rPr>
                      <w:rFonts w:ascii="Cambria Math" w:eastAsia="SimSun" w:hAnsi="Cambria Math"/>
                      <w:i/>
                      <w:sz w:val="22"/>
                      <w:szCs w:val="22"/>
                    </w:rPr>
                  </m:ctrlPr>
                </m:sSubPr>
                <m:e>
                  <m:r>
                    <w:rPr>
                      <w:rFonts w:ascii="Cambria Math" w:hAnsi="Cambria Math"/>
                      <w:sz w:val="22"/>
                      <w:szCs w:val="22"/>
                    </w:rPr>
                    <m:t>θ</m:t>
                  </m:r>
                </m:e>
                <m:sub>
                  <m:r>
                    <w:rPr>
                      <w:rFonts w:ascii="Cambria Math" w:hAnsi="Cambria Math"/>
                      <w:sz w:val="22"/>
                      <w:szCs w:val="22"/>
                    </w:rPr>
                    <m:t>l,UE</m:t>
                  </m:r>
                </m:sub>
              </m:sSub>
              <m:r>
                <w:rPr>
                  <w:rFonts w:ascii="Cambria Math" w:hAnsi="Cambria Math"/>
                  <w:sz w:val="22"/>
                  <w:szCs w:val="22"/>
                </w:rPr>
                <m:t xml:space="preserve">, 2π </m:t>
              </m:r>
            </m:e>
          </m:d>
          <m:r>
            <w:rPr>
              <w:rFonts w:ascii="Cambria Math" w:hAnsi="Cambria Math"/>
              <w:sz w:val="22"/>
              <w:szCs w:val="22"/>
            </w:rPr>
            <m:t xml:space="preserve"> .</m:t>
          </m:r>
        </m:oMath>
      </m:oMathPara>
    </w:p>
    <w:p w14:paraId="72EFF8A1" w14:textId="0255BD9A" w:rsidR="00290C11" w:rsidRDefault="00290C11" w:rsidP="00F76B98">
      <w:pPr>
        <w:spacing w:after="120"/>
        <w:jc w:val="both"/>
        <w:rPr>
          <w:sz w:val="22"/>
          <w:szCs w:val="22"/>
        </w:rPr>
      </w:pPr>
      <w:r>
        <w:rPr>
          <w:sz w:val="22"/>
          <w:szCs w:val="22"/>
        </w:rPr>
        <w:t xml:space="preserve">where </w:t>
      </w:r>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oMath>
      <w:r>
        <w:rPr>
          <w:sz w:val="22"/>
          <w:szCs w:val="22"/>
        </w:rPr>
        <w:t xml:space="preserve"> denotes the symbol-to-symbol phase rotation due to the carrier frequency offset of the </w:t>
      </w:r>
      <w:r w:rsidRPr="00290C11">
        <w:rPr>
          <w:i/>
          <w:iCs/>
          <w:sz w:val="22"/>
          <w:szCs w:val="22"/>
        </w:rPr>
        <w:t>l</w:t>
      </w:r>
      <w:r>
        <w:rPr>
          <w:sz w:val="22"/>
          <w:szCs w:val="22"/>
        </w:rPr>
        <w:t>-</w:t>
      </w:r>
      <w:proofErr w:type="spellStart"/>
      <w:r>
        <w:rPr>
          <w:sz w:val="22"/>
          <w:szCs w:val="22"/>
        </w:rPr>
        <w:t>th</w:t>
      </w:r>
      <w:proofErr w:type="spellEnd"/>
      <w:r>
        <w:rPr>
          <w:sz w:val="22"/>
          <w:szCs w:val="22"/>
        </w:rPr>
        <w:t xml:space="preserve"> TRP relative to the reference cell for the UE.  Similarly, let</w:t>
      </w:r>
      <w:r w:rsidR="00F06D4E">
        <w:rPr>
          <w:sz w:val="22"/>
          <w:szCs w:val="22"/>
        </w:rPr>
        <w:t xml:space="preserve"> the referred carrier phase measurement of the UE for the </w:t>
      </w:r>
      <w:r w:rsidR="00F06D4E" w:rsidRPr="00F06D4E">
        <w:rPr>
          <w:i/>
          <w:iCs/>
          <w:sz w:val="22"/>
          <w:szCs w:val="22"/>
        </w:rPr>
        <w:t>m</w:t>
      </w:r>
      <w:r w:rsidR="00F06D4E">
        <w:rPr>
          <w:sz w:val="22"/>
          <w:szCs w:val="22"/>
        </w:rPr>
        <w:t>-</w:t>
      </w:r>
      <w:proofErr w:type="spellStart"/>
      <w:r w:rsidR="00F06D4E">
        <w:rPr>
          <w:sz w:val="22"/>
          <w:szCs w:val="22"/>
        </w:rPr>
        <w:t>th</w:t>
      </w:r>
      <w:proofErr w:type="spellEnd"/>
      <w:r w:rsidR="00F06D4E">
        <w:rPr>
          <w:sz w:val="22"/>
          <w:szCs w:val="22"/>
        </w:rPr>
        <w:t xml:space="preserve"> TRP is given by</w:t>
      </w:r>
    </w:p>
    <w:p w14:paraId="29863F3F" w14:textId="3878A4DB" w:rsidR="00F76B98" w:rsidRDefault="00000000" w:rsidP="00F76B98">
      <w:pPr>
        <w:spacing w:after="12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i,k+n,m</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i,k+n,m</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k+n-</m:t>
                  </m:r>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m,UE</m:t>
                  </m:r>
                </m:sub>
              </m:sSub>
              <m:r>
                <w:rPr>
                  <w:rFonts w:ascii="Cambria Math" w:hAnsi="Cambria Math"/>
                  <w:sz w:val="22"/>
                  <w:szCs w:val="22"/>
                </w:rPr>
                <m:t xml:space="preserve">, 2π </m:t>
              </m:r>
            </m:e>
          </m:d>
          <m:r>
            <w:rPr>
              <w:rFonts w:ascii="Cambria Math" w:hAnsi="Cambria Math"/>
              <w:sz w:val="22"/>
              <w:szCs w:val="22"/>
            </w:rPr>
            <m:t xml:space="preserve"> .</m:t>
          </m:r>
        </m:oMath>
      </m:oMathPara>
    </w:p>
    <w:p w14:paraId="1A89C402" w14:textId="2824BC37" w:rsidR="00F06D4E" w:rsidRDefault="00F06D4E" w:rsidP="00290C11">
      <w:pPr>
        <w:spacing w:after="120"/>
        <w:jc w:val="both"/>
        <w:rPr>
          <w:sz w:val="22"/>
          <w:szCs w:val="22"/>
        </w:rPr>
      </w:pPr>
      <w:r>
        <w:rPr>
          <w:sz w:val="22"/>
          <w:szCs w:val="22"/>
        </w:rPr>
        <w:t xml:space="preserve">The reference symbol </w:t>
      </w:r>
      <w:r w:rsidR="00F76B98">
        <w:rPr>
          <w:sz w:val="22"/>
          <w:szCs w:val="22"/>
        </w:rPr>
        <w:t xml:space="preserve">referred </w:t>
      </w:r>
      <w:r>
        <w:rPr>
          <w:sz w:val="22"/>
          <w:szCs w:val="22"/>
        </w:rPr>
        <w:t xml:space="preserve">carrier phase difference measurement for the UE is </w:t>
      </w:r>
      <w:r w:rsidR="00F76B98">
        <w:rPr>
          <w:sz w:val="22"/>
          <w:szCs w:val="22"/>
        </w:rPr>
        <w:t xml:space="preserve">the difference of the referred carrier phase measurements </w:t>
      </w:r>
      <w:r>
        <w:rPr>
          <w:sz w:val="22"/>
          <w:szCs w:val="22"/>
        </w:rPr>
        <w:t>given by</w:t>
      </w:r>
    </w:p>
    <w:p w14:paraId="77DD65C2" w14:textId="78C9B924" w:rsidR="00F76B98" w:rsidRPr="00F06D4E" w:rsidRDefault="00F76B98" w:rsidP="00F76B98">
      <w:pPr>
        <w:spacing w:after="120"/>
        <w:jc w:val="both"/>
        <w:rPr>
          <w:sz w:val="22"/>
          <w:szCs w:val="22"/>
        </w:rPr>
      </w:pPr>
      <m:oMathPara>
        <m:oMathParaPr>
          <m:jc m:val="center"/>
        </m:oMathParaPr>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i,k+n,m</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 xml:space="preserve">, 2π </m:t>
              </m:r>
            </m:e>
          </m:d>
          <m:r>
            <w:rPr>
              <w:rFonts w:ascii="Cambria Math" w:hAnsi="Cambria Math"/>
              <w:sz w:val="22"/>
              <w:szCs w:val="22"/>
            </w:rPr>
            <m:t xml:space="preserve"> .</m:t>
          </m:r>
        </m:oMath>
      </m:oMathPara>
    </w:p>
    <w:p w14:paraId="34BF2F63" w14:textId="1160AE34" w:rsidR="00F06D4E" w:rsidRDefault="00F06D4E" w:rsidP="00290C11">
      <w:pPr>
        <w:spacing w:after="120"/>
        <w:jc w:val="both"/>
        <w:rPr>
          <w:sz w:val="22"/>
          <w:szCs w:val="22"/>
        </w:rPr>
      </w:pPr>
      <w:r>
        <w:rPr>
          <w:sz w:val="22"/>
          <w:szCs w:val="22"/>
        </w:rPr>
        <w:t xml:space="preserve">The UE can report either the referred carrier phase measurements </w:t>
      </w:r>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oMath>
      <w:r>
        <w:rPr>
          <w:iCs/>
          <w:sz w:val="22"/>
          <w:szCs w:val="22"/>
        </w:rPr>
        <w:t xml:space="preserve"> and </w:t>
      </w:r>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i,k+n,m</m:t>
            </m:r>
          </m:sub>
        </m:sSub>
      </m:oMath>
      <w:r>
        <w:rPr>
          <w:iCs/>
          <w:sz w:val="22"/>
          <w:szCs w:val="22"/>
        </w:rPr>
        <w:t xml:space="preserve"> to the LMF, or the UE can report the difference of the two referred carrier phase measurements.</w:t>
      </w:r>
    </w:p>
    <w:p w14:paraId="1BC0488E" w14:textId="1430B549" w:rsidR="00B674C6" w:rsidRPr="008F52B3" w:rsidRDefault="00F06D4E" w:rsidP="00B674C6">
      <w:pPr>
        <w:pStyle w:val="ListParagraph"/>
        <w:spacing w:after="120"/>
        <w:ind w:left="0"/>
        <w:contextualSpacing w:val="0"/>
        <w:jc w:val="both"/>
        <w:rPr>
          <w:sz w:val="22"/>
          <w:szCs w:val="22"/>
        </w:rPr>
      </w:pPr>
      <w:r>
        <w:rPr>
          <w:sz w:val="22"/>
          <w:szCs w:val="22"/>
        </w:rPr>
        <w:t>The approach for the PRU is the same</w:t>
      </w:r>
      <w:r w:rsidR="00B674C6">
        <w:rPr>
          <w:sz w:val="22"/>
          <w:szCs w:val="22"/>
        </w:rPr>
        <w:t xml:space="preserve"> as for the UE</w:t>
      </w:r>
      <w:r>
        <w:rPr>
          <w:sz w:val="22"/>
          <w:szCs w:val="22"/>
        </w:rPr>
        <w:t xml:space="preserve">. </w:t>
      </w:r>
      <w:r w:rsidR="00B674C6">
        <w:rPr>
          <w:sz w:val="22"/>
          <w:szCs w:val="22"/>
        </w:rPr>
        <w:t xml:space="preserve"> </w:t>
      </w:r>
      <w:r w:rsidR="00B674C6" w:rsidRPr="008F52B3">
        <w:rPr>
          <w:sz w:val="22"/>
          <w:szCs w:val="22"/>
        </w:rPr>
        <w:t xml:space="preserve">let </w:t>
      </w:r>
      <m:oMath>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Sub>
      </m:oMath>
      <w:r w:rsidR="00B674C6" w:rsidRPr="008F52B3">
        <w:rPr>
          <w:sz w:val="22"/>
          <w:szCs w:val="22"/>
        </w:rPr>
        <w:t xml:space="preserve"> denote the PRU’s carrier phase measurement for the DL-PRS received from the </w:t>
      </w:r>
      <w:r w:rsidR="00B674C6" w:rsidRPr="008F52B3">
        <w:rPr>
          <w:i/>
          <w:iCs/>
          <w:sz w:val="22"/>
          <w:szCs w:val="22"/>
        </w:rPr>
        <w:t>l</w:t>
      </w:r>
      <w:r w:rsidR="00B674C6" w:rsidRPr="008F52B3">
        <w:rPr>
          <w:sz w:val="22"/>
          <w:szCs w:val="22"/>
        </w:rPr>
        <w:t>-</w:t>
      </w:r>
      <w:proofErr w:type="spellStart"/>
      <w:r w:rsidR="00B674C6" w:rsidRPr="008F52B3">
        <w:rPr>
          <w:sz w:val="22"/>
          <w:szCs w:val="22"/>
        </w:rPr>
        <w:t>th</w:t>
      </w:r>
      <w:proofErr w:type="spellEnd"/>
      <w:r w:rsidR="00B674C6" w:rsidRPr="008F52B3">
        <w:rPr>
          <w:sz w:val="22"/>
          <w:szCs w:val="22"/>
        </w:rPr>
        <w:t xml:space="preserve"> TRP in subcarrier </w:t>
      </w:r>
      <w:proofErr w:type="spellStart"/>
      <w:r w:rsidR="00B674C6" w:rsidRPr="008F52B3">
        <w:rPr>
          <w:i/>
          <w:iCs/>
          <w:sz w:val="22"/>
          <w:szCs w:val="22"/>
        </w:rPr>
        <w:t>i</w:t>
      </w:r>
      <w:proofErr w:type="spellEnd"/>
      <w:r w:rsidR="00B674C6" w:rsidRPr="008F52B3">
        <w:rPr>
          <w:sz w:val="22"/>
          <w:szCs w:val="22"/>
        </w:rPr>
        <w:t xml:space="preserve"> with symbol index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oMath>
      <w:r w:rsidR="00B674C6" w:rsidRPr="008F52B3">
        <w:rPr>
          <w:sz w:val="22"/>
          <w:szCs w:val="22"/>
        </w:rPr>
        <w:t xml:space="preserve">.  The </w:t>
      </w:r>
      <w:r w:rsidR="00B674C6" w:rsidRPr="008F52B3">
        <w:rPr>
          <w:i/>
          <w:iCs/>
          <w:sz w:val="22"/>
          <w:szCs w:val="22"/>
        </w:rPr>
        <w:t>referred carrier phase measurement</w:t>
      </w:r>
      <w:r w:rsidR="00B674C6" w:rsidRPr="008F52B3">
        <w:rPr>
          <w:sz w:val="22"/>
          <w:szCs w:val="22"/>
        </w:rPr>
        <w:t xml:space="preserve"> </w:t>
      </w:r>
      <w:r w:rsidR="00B674C6">
        <w:rPr>
          <w:sz w:val="22"/>
          <w:szCs w:val="22"/>
        </w:rPr>
        <w:t>of</w:t>
      </w:r>
      <w:r w:rsidR="00B674C6" w:rsidRPr="008F52B3">
        <w:rPr>
          <w:sz w:val="22"/>
          <w:szCs w:val="22"/>
        </w:rPr>
        <w:t xml:space="preserve"> the UE </w:t>
      </w:r>
      <w:r w:rsidR="00B674C6">
        <w:rPr>
          <w:sz w:val="22"/>
          <w:szCs w:val="22"/>
        </w:rPr>
        <w:t xml:space="preserve">for the </w:t>
      </w:r>
      <w:r w:rsidR="00B674C6" w:rsidRPr="00F06D4E">
        <w:rPr>
          <w:i/>
          <w:iCs/>
          <w:sz w:val="22"/>
          <w:szCs w:val="22"/>
        </w:rPr>
        <w:t>l</w:t>
      </w:r>
      <w:r w:rsidR="00B674C6">
        <w:rPr>
          <w:sz w:val="22"/>
          <w:szCs w:val="22"/>
        </w:rPr>
        <w:t>-</w:t>
      </w:r>
      <w:proofErr w:type="spellStart"/>
      <w:r w:rsidR="00B674C6">
        <w:rPr>
          <w:sz w:val="22"/>
          <w:szCs w:val="22"/>
        </w:rPr>
        <w:t>th</w:t>
      </w:r>
      <w:proofErr w:type="spellEnd"/>
      <w:r w:rsidR="00B674C6">
        <w:rPr>
          <w:sz w:val="22"/>
          <w:szCs w:val="22"/>
        </w:rPr>
        <w:t xml:space="preserve"> TRP </w:t>
      </w:r>
      <w:r w:rsidR="00B674C6" w:rsidRPr="008F52B3">
        <w:rPr>
          <w:sz w:val="22"/>
          <w:szCs w:val="22"/>
        </w:rPr>
        <w:t>is then given by</w:t>
      </w:r>
    </w:p>
    <w:p w14:paraId="408C92F6" w14:textId="378BC3C2" w:rsidR="00290C11" w:rsidRPr="00290C11" w:rsidRDefault="00000000" w:rsidP="00290C11">
      <w:pPr>
        <w:spacing w:after="12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r>
                <w:rPr>
                  <w:rFonts w:ascii="Cambria Math" w:hAnsi="Cambria Math"/>
                  <w:sz w:val="22"/>
                  <w:szCs w:val="22"/>
                </w:rPr>
                <m:t>,</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Sub>
              <m:r>
                <w:rPr>
                  <w:rFonts w:ascii="Cambria Math" w:hAnsi="Cambria Math"/>
                  <w:sz w:val="22"/>
                  <w:szCs w:val="22"/>
                </w:rPr>
                <m:t>-</m:t>
              </m:r>
              <m:d>
                <m:dPr>
                  <m:ctrlPr>
                    <w:rPr>
                      <w:rFonts w:ascii="Cambria Math" w:hAnsi="Cambria Math"/>
                      <w:i/>
                      <w:sz w:val="22"/>
                      <w:szCs w:val="22"/>
                    </w:rPr>
                  </m:ctrlPr>
                </m:dPr>
                <m:e>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l,PRU</m:t>
                  </m:r>
                </m:sub>
              </m:sSub>
              <m:r>
                <w:rPr>
                  <w:rFonts w:ascii="Cambria Math" w:hAnsi="Cambria Math"/>
                  <w:sz w:val="22"/>
                  <w:szCs w:val="22"/>
                </w:rPr>
                <m:t xml:space="preserve">, 2π </m:t>
              </m:r>
            </m:e>
          </m:d>
        </m:oMath>
      </m:oMathPara>
    </w:p>
    <w:p w14:paraId="5838698D" w14:textId="4AF8B694" w:rsidR="00B674C6" w:rsidRDefault="00B674C6" w:rsidP="005866A0">
      <w:pPr>
        <w:pStyle w:val="ListParagraph"/>
        <w:spacing w:after="120"/>
        <w:ind w:left="0"/>
        <w:contextualSpacing w:val="0"/>
        <w:rPr>
          <w:sz w:val="22"/>
          <w:szCs w:val="22"/>
        </w:rPr>
      </w:pPr>
      <w:r>
        <w:rPr>
          <w:sz w:val="22"/>
          <w:szCs w:val="22"/>
        </w:rPr>
        <w:t xml:space="preserve">where </w:t>
      </w:r>
      <m:oMath>
        <m:r>
          <m:rPr>
            <m:sty m:val="p"/>
          </m:rPr>
          <w:rPr>
            <w:rFonts w:ascii="Cambria Math" w:eastAsiaTheme="minorEastAsia" w:hAnsi="Cambria Math"/>
            <w:sz w:val="22"/>
            <w:szCs w:val="22"/>
          </w:rPr>
          <m:t>Δ</m:t>
        </m:r>
        <m:sSub>
          <m:sSubPr>
            <m:ctrlPr>
              <w:rPr>
                <w:rFonts w:ascii="Cambria Math" w:eastAsia="SimSun" w:hAnsi="Cambria Math"/>
                <w:i/>
                <w:sz w:val="22"/>
                <w:szCs w:val="22"/>
              </w:rPr>
            </m:ctrlPr>
          </m:sSubPr>
          <m:e>
            <m:r>
              <w:rPr>
                <w:rFonts w:ascii="Cambria Math" w:hAnsi="Cambria Math"/>
                <w:sz w:val="22"/>
                <w:szCs w:val="22"/>
              </w:rPr>
              <m:t>θ</m:t>
            </m:r>
          </m:e>
          <m:sub>
            <m:r>
              <w:rPr>
                <w:rFonts w:ascii="Cambria Math" w:hAnsi="Cambria Math"/>
                <w:sz w:val="22"/>
                <w:szCs w:val="22"/>
              </w:rPr>
              <m:t>l,PRU</m:t>
            </m:r>
          </m:sub>
        </m:sSub>
      </m:oMath>
      <w:r>
        <w:rPr>
          <w:sz w:val="22"/>
          <w:szCs w:val="22"/>
        </w:rPr>
        <w:t xml:space="preserve"> denotes the symbol-to-symbol phase rotation due to the carrier frequency offset of the </w:t>
      </w:r>
      <w:r w:rsidRPr="00290C11">
        <w:rPr>
          <w:i/>
          <w:iCs/>
          <w:sz w:val="22"/>
          <w:szCs w:val="22"/>
        </w:rPr>
        <w:t>l</w:t>
      </w:r>
      <w:r>
        <w:rPr>
          <w:sz w:val="22"/>
          <w:szCs w:val="22"/>
        </w:rPr>
        <w:t>-</w:t>
      </w:r>
      <w:proofErr w:type="spellStart"/>
      <w:r>
        <w:rPr>
          <w:sz w:val="22"/>
          <w:szCs w:val="22"/>
        </w:rPr>
        <w:t>th</w:t>
      </w:r>
      <w:proofErr w:type="spellEnd"/>
      <w:r>
        <w:rPr>
          <w:sz w:val="22"/>
          <w:szCs w:val="22"/>
        </w:rPr>
        <w:t xml:space="preserve"> TRP relative to the reference cell for the PRU.  The referred carrier phase measurement of the PRU for the </w:t>
      </w:r>
      <w:r w:rsidRPr="00F06D4E">
        <w:rPr>
          <w:i/>
          <w:iCs/>
          <w:sz w:val="22"/>
          <w:szCs w:val="22"/>
        </w:rPr>
        <w:t>m</w:t>
      </w:r>
      <w:r>
        <w:rPr>
          <w:sz w:val="22"/>
          <w:szCs w:val="22"/>
        </w:rPr>
        <w:t>-</w:t>
      </w:r>
      <w:proofErr w:type="spellStart"/>
      <w:r>
        <w:rPr>
          <w:sz w:val="22"/>
          <w:szCs w:val="22"/>
        </w:rPr>
        <w:t>th</w:t>
      </w:r>
      <w:proofErr w:type="spellEnd"/>
      <w:r>
        <w:rPr>
          <w:sz w:val="22"/>
          <w:szCs w:val="22"/>
        </w:rPr>
        <w:t xml:space="preserve"> TRP is given by</w:t>
      </w:r>
    </w:p>
    <w:p w14:paraId="7B76611A" w14:textId="69DFC029" w:rsidR="00B674C6" w:rsidRPr="00290C11" w:rsidRDefault="00000000" w:rsidP="00B674C6">
      <w:pPr>
        <w:spacing w:after="12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MS Mincho" w:hAnsi="Cambria Math"/>
                  <w:sz w:val="22"/>
                  <w:szCs w:val="22"/>
                </w:rPr>
                <m:t>+</m:t>
              </m:r>
              <m:sSup>
                <m:sSupPr>
                  <m:ctrlPr>
                    <w:rPr>
                      <w:rFonts w:ascii="Cambria Math" w:eastAsia="MS Mincho"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MS Mincho" w:hAnsi="Cambria Math"/>
                      <w:sz w:val="22"/>
                      <w:szCs w:val="22"/>
                    </w:rPr>
                    <m:t>+</m:t>
                  </m:r>
                  <m:sSup>
                    <m:sSupPr>
                      <m:ctrlPr>
                        <w:rPr>
                          <w:rFonts w:ascii="Cambria Math" w:eastAsia="MS Mincho"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ub>
              </m:sSub>
              <m:r>
                <w:rPr>
                  <w:rFonts w:ascii="Cambria Math" w:hAnsi="Cambria Math"/>
                  <w:sz w:val="22"/>
                  <w:szCs w:val="22"/>
                </w:rPr>
                <m:t>-</m:t>
              </m:r>
              <m:d>
                <m:dPr>
                  <m:ctrlPr>
                    <w:rPr>
                      <w:rFonts w:ascii="Cambria Math" w:hAnsi="Cambria Math"/>
                      <w:i/>
                      <w:sz w:val="22"/>
                      <w:szCs w:val="22"/>
                    </w:rPr>
                  </m:ctrlPr>
                </m:dPr>
                <m:e>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MS Mincho" w:hAnsi="Cambria Math"/>
                      <w:sz w:val="22"/>
                      <w:szCs w:val="22"/>
                    </w:rPr>
                    <m:t>+</m:t>
                  </m:r>
                  <m:sSup>
                    <m:sSupPr>
                      <m:ctrlPr>
                        <w:rPr>
                          <w:rFonts w:ascii="Cambria Math" w:eastAsia="MS Mincho"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m,PRU</m:t>
                  </m:r>
                </m:sub>
              </m:sSub>
              <m:r>
                <w:rPr>
                  <w:rFonts w:ascii="Cambria Math" w:hAnsi="Cambria Math"/>
                  <w:sz w:val="22"/>
                  <w:szCs w:val="22"/>
                </w:rPr>
                <m:t xml:space="preserve">, 2π </m:t>
              </m:r>
            </m:e>
          </m:d>
        </m:oMath>
      </m:oMathPara>
    </w:p>
    <w:p w14:paraId="2265B357" w14:textId="6584B962" w:rsidR="000E11A2" w:rsidRDefault="000E11A2" w:rsidP="000E11A2">
      <w:pPr>
        <w:spacing w:after="120"/>
        <w:jc w:val="both"/>
        <w:rPr>
          <w:sz w:val="22"/>
          <w:szCs w:val="22"/>
        </w:rPr>
      </w:pPr>
      <w:r>
        <w:rPr>
          <w:sz w:val="22"/>
          <w:szCs w:val="22"/>
        </w:rPr>
        <w:t>The reference symbol referred carrier phase difference measurement for the PRU is the difference of the referred carrier phase measurements given by</w:t>
      </w:r>
    </w:p>
    <w:p w14:paraId="329DDFE2" w14:textId="07E1C544" w:rsidR="000E11A2" w:rsidRPr="00F06D4E" w:rsidRDefault="000E11A2" w:rsidP="000E11A2">
      <w:pPr>
        <w:spacing w:after="120"/>
        <w:jc w:val="both"/>
        <w:rPr>
          <w:sz w:val="22"/>
          <w:szCs w:val="22"/>
        </w:rPr>
      </w:pPr>
      <m:oMathPara>
        <m:oMathParaPr>
          <m:jc m:val="center"/>
        </m:oMathParaPr>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MS Mincho" w:hAnsi="Cambria Math"/>
                      <w:sz w:val="22"/>
                      <w:szCs w:val="22"/>
                    </w:rPr>
                    <m:t>+</m:t>
                  </m:r>
                  <m:sSup>
                    <m:sSupPr>
                      <m:ctrlPr>
                        <w:rPr>
                          <w:rFonts w:ascii="Cambria Math" w:eastAsia="MS Mincho"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m:t>
                      </m:r>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Sub>
              <m:r>
                <w:rPr>
                  <w:rFonts w:ascii="Cambria Math" w:hAnsi="Cambria Math"/>
                  <w:sz w:val="22"/>
                  <w:szCs w:val="22"/>
                </w:rPr>
                <m:t xml:space="preserve">, 2π </m:t>
              </m:r>
            </m:e>
          </m:d>
          <m:r>
            <w:rPr>
              <w:rFonts w:ascii="Cambria Math" w:hAnsi="Cambria Math"/>
              <w:sz w:val="22"/>
              <w:szCs w:val="22"/>
            </w:rPr>
            <m:t xml:space="preserve"> .</m:t>
          </m:r>
        </m:oMath>
      </m:oMathPara>
    </w:p>
    <w:p w14:paraId="4AF8C327" w14:textId="7B5988BB" w:rsidR="000E11A2" w:rsidRDefault="000E11A2" w:rsidP="000E11A2">
      <w:pPr>
        <w:spacing w:after="120"/>
        <w:jc w:val="both"/>
        <w:rPr>
          <w:sz w:val="22"/>
          <w:szCs w:val="22"/>
        </w:rPr>
      </w:pPr>
      <w:r>
        <w:rPr>
          <w:sz w:val="22"/>
          <w:szCs w:val="22"/>
        </w:rPr>
        <w:t xml:space="preserve">The UE can report either the referred carrier phase measurements </w:t>
      </w:r>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m:t>
                </m:r>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Sub>
      </m:oMath>
      <w:r>
        <w:rPr>
          <w:iCs/>
          <w:sz w:val="22"/>
          <w:szCs w:val="22"/>
        </w:rPr>
        <w:t xml:space="preserve"> and </w:t>
      </w:r>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MS Mincho" w:hAnsi="Cambria Math"/>
                <w:sz w:val="22"/>
                <w:szCs w:val="22"/>
              </w:rPr>
              <m:t>+</m:t>
            </m:r>
            <m:sSup>
              <m:sSupPr>
                <m:ctrlPr>
                  <w:rPr>
                    <w:rFonts w:ascii="Cambria Math" w:eastAsia="MS Mincho"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ub>
        </m:sSub>
      </m:oMath>
      <w:r>
        <w:rPr>
          <w:iCs/>
          <w:sz w:val="22"/>
          <w:szCs w:val="22"/>
        </w:rPr>
        <w:t xml:space="preserve"> to the LMF, or the UE can report the difference of the two referred carrier phase measurements.</w:t>
      </w:r>
    </w:p>
    <w:p w14:paraId="41F5F518" w14:textId="7C68AA7A" w:rsidR="00DD36DF" w:rsidRDefault="008115B8" w:rsidP="008115B8">
      <w:pPr>
        <w:spacing w:after="120"/>
        <w:jc w:val="both"/>
        <w:rPr>
          <w:sz w:val="22"/>
          <w:szCs w:val="22"/>
        </w:rPr>
      </w:pPr>
      <w:r w:rsidRPr="008F52B3">
        <w:rPr>
          <w:sz w:val="22"/>
          <w:szCs w:val="22"/>
        </w:rPr>
        <w:t>By using the referred carrier phase measurements, the carrier phase difference measurements errors due to carrier frequency offsets are removed.</w:t>
      </w:r>
    </w:p>
    <w:p w14:paraId="32D04EB8" w14:textId="1AC0DB48" w:rsidR="004F27D9" w:rsidRDefault="004F27D9" w:rsidP="004F27D9">
      <w:pPr>
        <w:spacing w:after="0"/>
        <w:jc w:val="both"/>
        <w:rPr>
          <w:sz w:val="22"/>
          <w:szCs w:val="22"/>
        </w:rPr>
      </w:pPr>
      <w:r>
        <w:rPr>
          <w:sz w:val="22"/>
          <w:szCs w:val="22"/>
        </w:rPr>
        <w:t xml:space="preserve">It can be noted that an additional advantage of referring the carrier phase measurements to a common reference time is that referred carrier phase measurements for </w:t>
      </w:r>
      <w:r w:rsidRPr="008E007A">
        <w:rPr>
          <w:i/>
          <w:iCs/>
          <w:sz w:val="22"/>
          <w:szCs w:val="22"/>
        </w:rPr>
        <w:t xml:space="preserve">DL-PRS received from the same TRP on the same subcarrier </w:t>
      </w:r>
      <w:r w:rsidRPr="004F27D9">
        <w:rPr>
          <w:i/>
          <w:iCs/>
          <w:sz w:val="22"/>
          <w:szCs w:val="22"/>
          <w:u w:val="single"/>
        </w:rPr>
        <w:t>can be averaged</w:t>
      </w:r>
      <w:r>
        <w:rPr>
          <w:sz w:val="22"/>
          <w:szCs w:val="22"/>
        </w:rPr>
        <w:t xml:space="preserve">. Due to the symbol-to-symbol phase rotations of </w:t>
      </w:r>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oMath>
      <w:r>
        <w:rPr>
          <w:sz w:val="22"/>
          <w:szCs w:val="22"/>
        </w:rPr>
        <w:t xml:space="preserve"> at the UE, carrier phase measurements on DL-PRS which are </w:t>
      </w:r>
      <w:r w:rsidRPr="004F27D9">
        <w:rPr>
          <w:i/>
          <w:iCs/>
          <w:sz w:val="22"/>
          <w:szCs w:val="22"/>
        </w:rPr>
        <w:t>n</w:t>
      </w:r>
      <w:r>
        <w:rPr>
          <w:sz w:val="22"/>
          <w:szCs w:val="22"/>
        </w:rPr>
        <w:t xml:space="preserve"> symbols apart will have a mean phase offset of </w:t>
      </w:r>
      <m:oMath>
        <m:r>
          <w:rPr>
            <w:rFonts w:ascii="Cambria Math" w:hAnsi="Cambria Math"/>
            <w:sz w:val="22"/>
            <w:szCs w:val="22"/>
          </w:rPr>
          <m:t xml:space="preserve">n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oMath>
      <w:r>
        <w:rPr>
          <w:sz w:val="22"/>
          <w:szCs w:val="22"/>
        </w:rPr>
        <w:t xml:space="preserve"> and thus should not be averaged without first referring to a common reference time. </w:t>
      </w:r>
    </w:p>
    <w:p w14:paraId="48373AD9" w14:textId="54701E45" w:rsidR="0052622D" w:rsidRDefault="008A67CA" w:rsidP="006C60AE">
      <w:pPr>
        <w:spacing w:after="120"/>
        <w:jc w:val="both"/>
        <w:rPr>
          <w:sz w:val="22"/>
          <w:szCs w:val="22"/>
        </w:rPr>
      </w:pPr>
      <w:r>
        <w:rPr>
          <w:sz w:val="22"/>
          <w:szCs w:val="22"/>
        </w:rPr>
        <w:lastRenderedPageBreak/>
        <w:t>In summary, at least in the case of DL-PRS repetition, it is useful to define a common reference time within the set of DL-PRS repetitions and to refer all carrier phase measurements to this common reference time</w:t>
      </w:r>
      <w:r w:rsidR="006C60AE">
        <w:rPr>
          <w:sz w:val="22"/>
          <w:szCs w:val="22"/>
        </w:rPr>
        <w:t xml:space="preserve"> by removing the phase rotation in the interval between the measurement and the reference time due to the carrier frequency offset</w:t>
      </w:r>
      <w:r>
        <w:rPr>
          <w:sz w:val="22"/>
          <w:szCs w:val="22"/>
        </w:rPr>
        <w:t>.</w:t>
      </w:r>
      <w:r w:rsidR="006C60AE">
        <w:rPr>
          <w:sz w:val="22"/>
          <w:szCs w:val="22"/>
        </w:rPr>
        <w:t xml:space="preserve">  </w:t>
      </w:r>
      <w:r>
        <w:rPr>
          <w:sz w:val="22"/>
          <w:szCs w:val="22"/>
        </w:rPr>
        <w:t>With this approach, the reference symbol carrier phase measurements</w:t>
      </w:r>
      <w:r w:rsidR="006C60AE">
        <w:rPr>
          <w:sz w:val="22"/>
          <w:szCs w:val="22"/>
        </w:rPr>
        <w:t xml:space="preserve"> received by the LMF from the UE and the PRU can be combined without degradation due to the carrier frequency offsets</w:t>
      </w:r>
      <w:r w:rsidR="00FB607F">
        <w:rPr>
          <w:sz w:val="22"/>
          <w:szCs w:val="22"/>
        </w:rPr>
        <w:t xml:space="preserve"> regardless of when the carrier phase reference symbol measurements were taken within the multiple DL-PRS slots</w:t>
      </w:r>
      <w:r w:rsidR="006C60AE">
        <w:rPr>
          <w:sz w:val="22"/>
          <w:szCs w:val="22"/>
        </w:rPr>
        <w:t>.  Thus, we propose the following at least in the case of DL-PRS repetition:</w:t>
      </w:r>
    </w:p>
    <w:p w14:paraId="3F6D7879" w14:textId="3C331A4B" w:rsidR="005C68BC" w:rsidRDefault="0052622D" w:rsidP="00AB4278">
      <w:pPr>
        <w:spacing w:after="0"/>
        <w:ind w:left="1170" w:hanging="1170"/>
        <w:jc w:val="both"/>
        <w:rPr>
          <w:sz w:val="22"/>
          <w:szCs w:val="22"/>
        </w:rPr>
      </w:pPr>
      <w:r w:rsidRPr="00AB4278">
        <w:rPr>
          <w:b/>
          <w:bCs/>
          <w:sz w:val="22"/>
          <w:szCs w:val="22"/>
        </w:rPr>
        <w:t xml:space="preserve">Proposal </w:t>
      </w:r>
      <w:r w:rsidR="006C60AE">
        <w:rPr>
          <w:b/>
          <w:bCs/>
          <w:sz w:val="22"/>
          <w:szCs w:val="22"/>
        </w:rPr>
        <w:t>2</w:t>
      </w:r>
      <w:r>
        <w:rPr>
          <w:sz w:val="22"/>
          <w:szCs w:val="22"/>
        </w:rPr>
        <w:t>:</w:t>
      </w:r>
      <w:r w:rsidR="00AB4278">
        <w:rPr>
          <w:sz w:val="22"/>
          <w:szCs w:val="22"/>
        </w:rPr>
        <w:tab/>
      </w:r>
      <w:r>
        <w:rPr>
          <w:sz w:val="22"/>
          <w:szCs w:val="22"/>
        </w:rPr>
        <w:t xml:space="preserve">Define a common reference time and refer the </w:t>
      </w:r>
      <w:r w:rsidR="005C68BC">
        <w:rPr>
          <w:sz w:val="22"/>
          <w:szCs w:val="22"/>
        </w:rPr>
        <w:t xml:space="preserve">DL-PRS </w:t>
      </w:r>
      <w:r>
        <w:rPr>
          <w:sz w:val="22"/>
          <w:szCs w:val="22"/>
        </w:rPr>
        <w:t>carrier phase measurements to this reference time</w:t>
      </w:r>
      <w:r w:rsidR="005C68BC">
        <w:rPr>
          <w:sz w:val="22"/>
          <w:szCs w:val="22"/>
        </w:rPr>
        <w:t xml:space="preserve"> by subtracting the phase rotation due to the carrier frequency offset in the </w:t>
      </w:r>
      <w:r w:rsidR="00DF4701">
        <w:rPr>
          <w:sz w:val="22"/>
          <w:szCs w:val="22"/>
        </w:rPr>
        <w:t xml:space="preserve">time </w:t>
      </w:r>
      <w:r w:rsidR="005C68BC">
        <w:rPr>
          <w:sz w:val="22"/>
          <w:szCs w:val="22"/>
        </w:rPr>
        <w:t>interval between the DL-PRS and the reference time f</w:t>
      </w:r>
      <w:r w:rsidR="003F6EAB">
        <w:rPr>
          <w:sz w:val="22"/>
          <w:szCs w:val="22"/>
        </w:rPr>
        <w:t>or</w:t>
      </w:r>
      <w:r w:rsidR="005C68BC">
        <w:rPr>
          <w:sz w:val="22"/>
          <w:szCs w:val="22"/>
        </w:rPr>
        <w:t xml:space="preserve"> the carrier phase measurement.</w:t>
      </w:r>
    </w:p>
    <w:p w14:paraId="7D0ED9CE" w14:textId="3DC6B04B" w:rsidR="005C68BC" w:rsidRDefault="005C68BC" w:rsidP="0052622D">
      <w:pPr>
        <w:spacing w:after="0"/>
        <w:jc w:val="both"/>
        <w:rPr>
          <w:sz w:val="22"/>
          <w:szCs w:val="22"/>
        </w:rPr>
      </w:pPr>
    </w:p>
    <w:p w14:paraId="0A660763" w14:textId="432054E3" w:rsidR="005C68BC" w:rsidRDefault="005C68BC" w:rsidP="00AB4278">
      <w:pPr>
        <w:spacing w:after="0"/>
        <w:ind w:left="1170" w:hanging="1170"/>
        <w:jc w:val="both"/>
        <w:rPr>
          <w:sz w:val="22"/>
          <w:szCs w:val="22"/>
        </w:rPr>
      </w:pPr>
      <w:r w:rsidRPr="00AB4278">
        <w:rPr>
          <w:b/>
          <w:bCs/>
          <w:sz w:val="22"/>
          <w:szCs w:val="22"/>
        </w:rPr>
        <w:t xml:space="preserve">Proposal </w:t>
      </w:r>
      <w:r w:rsidR="006C60AE">
        <w:rPr>
          <w:b/>
          <w:bCs/>
          <w:sz w:val="22"/>
          <w:szCs w:val="22"/>
        </w:rPr>
        <w:t>3</w:t>
      </w:r>
      <w:r>
        <w:rPr>
          <w:sz w:val="22"/>
          <w:szCs w:val="22"/>
        </w:rPr>
        <w:t>:</w:t>
      </w:r>
      <w:r w:rsidR="00AB4278">
        <w:rPr>
          <w:sz w:val="22"/>
          <w:szCs w:val="22"/>
        </w:rPr>
        <w:tab/>
      </w:r>
      <w:r>
        <w:rPr>
          <w:sz w:val="22"/>
          <w:szCs w:val="22"/>
        </w:rPr>
        <w:t>Define the referred carrier phase difference as the difference between the referred carrier phase measurements.</w:t>
      </w:r>
      <w:r w:rsidR="003C02D8">
        <w:rPr>
          <w:sz w:val="22"/>
          <w:szCs w:val="22"/>
        </w:rPr>
        <w:t xml:space="preserve">  </w:t>
      </w:r>
    </w:p>
    <w:p w14:paraId="617CF913" w14:textId="1D3CB94A" w:rsidR="005C68BC" w:rsidRDefault="005C68BC" w:rsidP="0052622D">
      <w:pPr>
        <w:spacing w:after="0"/>
        <w:jc w:val="both"/>
        <w:rPr>
          <w:sz w:val="22"/>
          <w:szCs w:val="22"/>
        </w:rPr>
      </w:pPr>
    </w:p>
    <w:p w14:paraId="48B785A5" w14:textId="2D4B4997" w:rsidR="00AA68E9" w:rsidRDefault="005C68BC" w:rsidP="00CC205D">
      <w:pPr>
        <w:spacing w:after="0"/>
        <w:ind w:left="1170" w:hanging="1170"/>
        <w:jc w:val="both"/>
        <w:rPr>
          <w:sz w:val="22"/>
          <w:szCs w:val="22"/>
        </w:rPr>
      </w:pPr>
      <w:r w:rsidRPr="00AB4278">
        <w:rPr>
          <w:b/>
          <w:bCs/>
          <w:sz w:val="22"/>
          <w:szCs w:val="22"/>
        </w:rPr>
        <w:t xml:space="preserve">Proposal </w:t>
      </w:r>
      <w:r w:rsidR="006C60AE">
        <w:rPr>
          <w:b/>
          <w:bCs/>
          <w:sz w:val="22"/>
          <w:szCs w:val="22"/>
        </w:rPr>
        <w:t>4</w:t>
      </w:r>
      <w:r>
        <w:rPr>
          <w:sz w:val="22"/>
          <w:szCs w:val="22"/>
        </w:rPr>
        <w:t>:</w:t>
      </w:r>
      <w:r w:rsidR="00AB4278">
        <w:rPr>
          <w:sz w:val="22"/>
          <w:szCs w:val="22"/>
        </w:rPr>
        <w:tab/>
        <w:t>Define the</w:t>
      </w:r>
      <w:r>
        <w:rPr>
          <w:sz w:val="22"/>
          <w:szCs w:val="22"/>
        </w:rPr>
        <w:t xml:space="preserve"> same common reference time for the UE and the PRU.</w:t>
      </w:r>
    </w:p>
    <w:p w14:paraId="12143D29" w14:textId="2D7B1A19" w:rsidR="003C02D8" w:rsidRDefault="003C02D8" w:rsidP="00CC205D">
      <w:pPr>
        <w:spacing w:after="0"/>
        <w:ind w:left="1170" w:hanging="1170"/>
        <w:jc w:val="both"/>
        <w:rPr>
          <w:sz w:val="22"/>
          <w:szCs w:val="22"/>
        </w:rPr>
      </w:pPr>
    </w:p>
    <w:p w14:paraId="66A50081" w14:textId="306E9CA2" w:rsidR="003C02D8" w:rsidRDefault="003C02D8" w:rsidP="006C60AE">
      <w:pPr>
        <w:spacing w:after="0"/>
        <w:ind w:left="1170" w:hanging="1170"/>
        <w:jc w:val="both"/>
        <w:rPr>
          <w:sz w:val="22"/>
          <w:szCs w:val="22"/>
        </w:rPr>
      </w:pPr>
      <w:r w:rsidRPr="00AB4278">
        <w:rPr>
          <w:b/>
          <w:bCs/>
          <w:sz w:val="22"/>
          <w:szCs w:val="22"/>
        </w:rPr>
        <w:t xml:space="preserve">Proposal </w:t>
      </w:r>
      <w:r w:rsidR="006C60AE">
        <w:rPr>
          <w:b/>
          <w:bCs/>
          <w:sz w:val="22"/>
          <w:szCs w:val="22"/>
        </w:rPr>
        <w:t>5</w:t>
      </w:r>
      <w:r>
        <w:rPr>
          <w:sz w:val="22"/>
          <w:szCs w:val="22"/>
        </w:rPr>
        <w:t>:</w:t>
      </w:r>
      <w:r>
        <w:rPr>
          <w:sz w:val="22"/>
          <w:szCs w:val="22"/>
        </w:rPr>
        <w:tab/>
        <w:t>The UE and the PRU report either the referred carrier phase measurements or the carrier phase difference measurements computed using the referred carrier phase measurements.</w:t>
      </w:r>
    </w:p>
    <w:bookmarkEnd w:id="3"/>
    <w:p w14:paraId="43C5FCDB" w14:textId="17454CF7" w:rsidR="00EF5BED" w:rsidRPr="006F69A9" w:rsidRDefault="006F69A9" w:rsidP="006F69A9">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0415BC7B" w14:textId="2F52428C" w:rsidR="006C60AE" w:rsidRPr="006C60AE" w:rsidRDefault="006C60AE" w:rsidP="006C60AE">
      <w:pPr>
        <w:spacing w:after="120"/>
        <w:jc w:val="both"/>
        <w:rPr>
          <w:sz w:val="22"/>
          <w:szCs w:val="22"/>
        </w:rPr>
      </w:pPr>
      <w:r>
        <w:rPr>
          <w:sz w:val="22"/>
          <w:szCs w:val="22"/>
        </w:rPr>
        <w:t>Based on the above discussion, we have the following observations:</w:t>
      </w:r>
    </w:p>
    <w:p w14:paraId="50B0C6D8" w14:textId="345D8DCD" w:rsidR="006C60AE" w:rsidRPr="006C60AE" w:rsidRDefault="006C60AE" w:rsidP="006C60AE">
      <w:pPr>
        <w:spacing w:after="120"/>
        <w:ind w:left="1440" w:hanging="1440"/>
        <w:jc w:val="both"/>
        <w:rPr>
          <w:sz w:val="22"/>
          <w:szCs w:val="22"/>
        </w:rPr>
      </w:pPr>
      <w:r w:rsidRPr="006C60AE">
        <w:rPr>
          <w:b/>
          <w:bCs/>
          <w:sz w:val="22"/>
          <w:szCs w:val="22"/>
        </w:rPr>
        <w:t>Observation 1:</w:t>
      </w:r>
      <w:r w:rsidRPr="006C60AE">
        <w:rPr>
          <w:b/>
          <w:bCs/>
          <w:sz w:val="22"/>
          <w:szCs w:val="22"/>
        </w:rPr>
        <w:tab/>
      </w:r>
      <w:r w:rsidRPr="006C60AE">
        <w:rPr>
          <w:sz w:val="22"/>
          <w:szCs w:val="22"/>
        </w:rPr>
        <w:t xml:space="preserve">For a subcarrier spacing of 15 kHz, the maximum phase change from the first symbol of the slot to the last is </w:t>
      </w:r>
      <w:r w:rsidRPr="006C60AE">
        <w:rPr>
          <w:i/>
          <w:iCs/>
          <w:sz w:val="22"/>
          <w:szCs w:val="22"/>
        </w:rPr>
        <w:t xml:space="preserve">66 degrees for 1 GHz, 133 </w:t>
      </w:r>
      <w:proofErr w:type="spellStart"/>
      <w:r w:rsidRPr="006C60AE">
        <w:rPr>
          <w:i/>
          <w:iCs/>
          <w:sz w:val="22"/>
          <w:szCs w:val="22"/>
        </w:rPr>
        <w:t>degees</w:t>
      </w:r>
      <w:proofErr w:type="spellEnd"/>
      <w:r w:rsidRPr="006C60AE">
        <w:rPr>
          <w:i/>
          <w:iCs/>
          <w:sz w:val="22"/>
          <w:szCs w:val="22"/>
        </w:rPr>
        <w:t xml:space="preserve"> for 2 GHz, and 199 degrees for 3 GHz</w:t>
      </w:r>
      <w:r w:rsidRPr="006C60AE">
        <w:rPr>
          <w:sz w:val="22"/>
          <w:szCs w:val="22"/>
        </w:rPr>
        <w:t>.</w:t>
      </w:r>
    </w:p>
    <w:p w14:paraId="7BD17AEE" w14:textId="77777777" w:rsidR="006C60AE" w:rsidRDefault="006C60AE" w:rsidP="006C60AE">
      <w:pPr>
        <w:spacing w:after="120"/>
        <w:ind w:left="1440" w:hanging="1440"/>
        <w:jc w:val="both"/>
        <w:rPr>
          <w:sz w:val="22"/>
          <w:szCs w:val="22"/>
        </w:rPr>
      </w:pPr>
      <w:r w:rsidRPr="005D2C39">
        <w:rPr>
          <w:b/>
          <w:bCs/>
          <w:sz w:val="22"/>
          <w:szCs w:val="22"/>
        </w:rPr>
        <w:t xml:space="preserve">Observation </w:t>
      </w:r>
      <w:r>
        <w:rPr>
          <w:b/>
          <w:bCs/>
          <w:sz w:val="22"/>
          <w:szCs w:val="22"/>
        </w:rPr>
        <w:t>2</w:t>
      </w:r>
      <w:r w:rsidRPr="005D2C39">
        <w:rPr>
          <w:b/>
          <w:bCs/>
          <w:sz w:val="22"/>
          <w:szCs w:val="22"/>
        </w:rPr>
        <w:t>:</w:t>
      </w:r>
      <w:r>
        <w:rPr>
          <w:b/>
          <w:bCs/>
          <w:sz w:val="22"/>
          <w:szCs w:val="22"/>
        </w:rPr>
        <w:t xml:space="preserve"> </w:t>
      </w:r>
      <w:r>
        <w:rPr>
          <w:sz w:val="22"/>
          <w:szCs w:val="22"/>
        </w:rPr>
        <w:t>With DL-PRS repetition, the variation of the reference symbol carrier phase is scaled by the number of consecutive slots.</w:t>
      </w:r>
    </w:p>
    <w:p w14:paraId="2E65FF70" w14:textId="77777777" w:rsidR="006C60AE" w:rsidRPr="002C6B30" w:rsidRDefault="006C60AE" w:rsidP="006C60AE">
      <w:pPr>
        <w:spacing w:after="120"/>
        <w:ind w:left="1440" w:hanging="1440"/>
        <w:jc w:val="both"/>
        <w:rPr>
          <w:sz w:val="22"/>
          <w:szCs w:val="22"/>
        </w:rPr>
      </w:pPr>
      <w:r w:rsidRPr="005D2C39">
        <w:rPr>
          <w:b/>
          <w:bCs/>
          <w:sz w:val="22"/>
          <w:szCs w:val="22"/>
        </w:rPr>
        <w:t xml:space="preserve">Observation </w:t>
      </w:r>
      <w:r>
        <w:rPr>
          <w:b/>
          <w:bCs/>
          <w:sz w:val="22"/>
          <w:szCs w:val="22"/>
        </w:rPr>
        <w:t>3</w:t>
      </w:r>
      <w:r w:rsidRPr="005D2C39">
        <w:rPr>
          <w:b/>
          <w:bCs/>
          <w:sz w:val="22"/>
          <w:szCs w:val="22"/>
        </w:rPr>
        <w:t>:</w:t>
      </w:r>
      <w:r>
        <w:rPr>
          <w:sz w:val="22"/>
          <w:szCs w:val="22"/>
        </w:rPr>
        <w:tab/>
        <w:t>If the UE and the PRU take measurements in different slots, it is not clear that the LMF can meaningfully combine these measurements to get a carrier phase-based positioning estimate.</w:t>
      </w:r>
    </w:p>
    <w:p w14:paraId="6EBCB8A4" w14:textId="37D3193B" w:rsidR="00EF5BED" w:rsidRDefault="006C60AE" w:rsidP="00EF5BED">
      <w:pPr>
        <w:spacing w:after="0"/>
        <w:jc w:val="both"/>
        <w:rPr>
          <w:sz w:val="22"/>
          <w:szCs w:val="22"/>
        </w:rPr>
      </w:pPr>
      <w:r>
        <w:rPr>
          <w:sz w:val="22"/>
          <w:szCs w:val="22"/>
        </w:rPr>
        <w:t>Based on Observation 1, we have the following proposal.</w:t>
      </w:r>
    </w:p>
    <w:p w14:paraId="5B155B17" w14:textId="77777777" w:rsidR="006C60AE" w:rsidRDefault="006C60AE" w:rsidP="00EF5BED">
      <w:pPr>
        <w:spacing w:after="0"/>
        <w:jc w:val="both"/>
        <w:rPr>
          <w:sz w:val="22"/>
          <w:szCs w:val="22"/>
        </w:rPr>
      </w:pPr>
    </w:p>
    <w:p w14:paraId="0ACAC15A" w14:textId="04E8AC4C" w:rsidR="006C60AE" w:rsidRDefault="006C60AE" w:rsidP="006C60AE">
      <w:pPr>
        <w:spacing w:after="120"/>
        <w:ind w:left="1080" w:hanging="1080"/>
        <w:jc w:val="both"/>
        <w:rPr>
          <w:sz w:val="22"/>
          <w:szCs w:val="22"/>
        </w:rPr>
      </w:pPr>
      <w:r w:rsidRPr="00030A8C">
        <w:rPr>
          <w:b/>
          <w:bCs/>
          <w:sz w:val="22"/>
          <w:szCs w:val="22"/>
        </w:rPr>
        <w:t>Proposal 1:</w:t>
      </w:r>
      <w:r>
        <w:rPr>
          <w:b/>
          <w:bCs/>
          <w:sz w:val="22"/>
          <w:szCs w:val="22"/>
        </w:rPr>
        <w:tab/>
      </w:r>
      <w:r>
        <w:rPr>
          <w:sz w:val="22"/>
          <w:szCs w:val="22"/>
        </w:rPr>
        <w:t>The carrier phase definition should be clarified to indicate the carrier phase is defined at a specific location within the slot.</w:t>
      </w:r>
    </w:p>
    <w:p w14:paraId="15C6484F" w14:textId="7870E313" w:rsidR="00FB607F" w:rsidRDefault="006C60AE" w:rsidP="00FB607F">
      <w:pPr>
        <w:spacing w:after="0"/>
        <w:jc w:val="both"/>
        <w:rPr>
          <w:sz w:val="22"/>
          <w:szCs w:val="22"/>
        </w:rPr>
      </w:pPr>
      <w:r>
        <w:rPr>
          <w:sz w:val="22"/>
          <w:szCs w:val="22"/>
        </w:rPr>
        <w:t>At least in the case of DL-PRS repetition, it is useful to define a common reference time within the set of DL-PRS repetitions and to refer all carrier phase measurements to this common reference time</w:t>
      </w:r>
      <w:r w:rsidR="00FB607F">
        <w:rPr>
          <w:sz w:val="22"/>
          <w:szCs w:val="22"/>
        </w:rPr>
        <w:t>.  With this approach, the reference symbol carrier phase measurements received by the LMF from the UE and the PRU can be combined without degradation due to the carrier frequency offsets regardless of when the carrier phase reference symbol measurements were taken within the multiple DL-PRS slots.</w:t>
      </w:r>
    </w:p>
    <w:p w14:paraId="0BB5966D" w14:textId="77777777" w:rsidR="00FB607F" w:rsidRDefault="00FB607F" w:rsidP="00FB607F">
      <w:pPr>
        <w:spacing w:after="0"/>
        <w:jc w:val="both"/>
        <w:rPr>
          <w:sz w:val="22"/>
          <w:szCs w:val="22"/>
        </w:rPr>
      </w:pPr>
    </w:p>
    <w:p w14:paraId="6FEC4DF1" w14:textId="58BCC0A5" w:rsidR="00FB607F" w:rsidRDefault="00FB607F" w:rsidP="00FB607F">
      <w:pPr>
        <w:spacing w:after="0"/>
        <w:jc w:val="both"/>
        <w:rPr>
          <w:sz w:val="22"/>
          <w:szCs w:val="22"/>
        </w:rPr>
      </w:pPr>
      <w:r>
        <w:rPr>
          <w:sz w:val="22"/>
          <w:szCs w:val="22"/>
        </w:rPr>
        <w:t>Thus, based on Observations 2 and 3, we have the following proposals.</w:t>
      </w:r>
    </w:p>
    <w:p w14:paraId="5595EC5F" w14:textId="77777777" w:rsidR="00FB607F" w:rsidRDefault="00FB607F" w:rsidP="00FB607F">
      <w:pPr>
        <w:spacing w:after="0"/>
        <w:jc w:val="both"/>
        <w:rPr>
          <w:sz w:val="22"/>
          <w:szCs w:val="22"/>
        </w:rPr>
      </w:pPr>
    </w:p>
    <w:p w14:paraId="475DA55E" w14:textId="4F006D33" w:rsidR="00FB607F" w:rsidRDefault="00FB607F" w:rsidP="00FB607F">
      <w:pPr>
        <w:spacing w:after="0"/>
        <w:ind w:left="1170" w:hanging="1170"/>
        <w:jc w:val="both"/>
        <w:rPr>
          <w:sz w:val="22"/>
          <w:szCs w:val="22"/>
        </w:rPr>
      </w:pPr>
      <w:r w:rsidRPr="00AB4278">
        <w:rPr>
          <w:b/>
          <w:bCs/>
          <w:sz w:val="22"/>
          <w:szCs w:val="22"/>
        </w:rPr>
        <w:t xml:space="preserve">Proposal </w:t>
      </w:r>
      <w:r>
        <w:rPr>
          <w:b/>
          <w:bCs/>
          <w:sz w:val="22"/>
          <w:szCs w:val="22"/>
        </w:rPr>
        <w:t>2</w:t>
      </w:r>
      <w:r>
        <w:rPr>
          <w:sz w:val="22"/>
          <w:szCs w:val="22"/>
        </w:rPr>
        <w:t>:</w:t>
      </w:r>
      <w:r>
        <w:rPr>
          <w:sz w:val="22"/>
          <w:szCs w:val="22"/>
        </w:rPr>
        <w:tab/>
        <w:t>Define a common reference time and refer the DL-PRS carrier phase measurements to this reference time by subtracting the phase rotation due to the carrier frequency offset in the time interval between the DL-PRS and the reference time f</w:t>
      </w:r>
      <w:r w:rsidR="003F6EAB">
        <w:rPr>
          <w:sz w:val="22"/>
          <w:szCs w:val="22"/>
        </w:rPr>
        <w:t>or</w:t>
      </w:r>
      <w:r>
        <w:rPr>
          <w:sz w:val="22"/>
          <w:szCs w:val="22"/>
        </w:rPr>
        <w:t xml:space="preserve"> the carrier phase measurement.</w:t>
      </w:r>
    </w:p>
    <w:p w14:paraId="6E9DDDC3" w14:textId="77777777" w:rsidR="00FB607F" w:rsidRDefault="00FB607F" w:rsidP="00FB607F">
      <w:pPr>
        <w:spacing w:after="0"/>
        <w:jc w:val="both"/>
        <w:rPr>
          <w:sz w:val="22"/>
          <w:szCs w:val="22"/>
        </w:rPr>
      </w:pPr>
    </w:p>
    <w:p w14:paraId="39518125" w14:textId="77777777" w:rsidR="00FB607F" w:rsidRDefault="00FB607F" w:rsidP="00FB607F">
      <w:pPr>
        <w:spacing w:after="0"/>
        <w:ind w:left="1170" w:hanging="1170"/>
        <w:jc w:val="both"/>
        <w:rPr>
          <w:sz w:val="22"/>
          <w:szCs w:val="22"/>
        </w:rPr>
      </w:pPr>
      <w:r w:rsidRPr="00AB4278">
        <w:rPr>
          <w:b/>
          <w:bCs/>
          <w:sz w:val="22"/>
          <w:szCs w:val="22"/>
        </w:rPr>
        <w:t xml:space="preserve">Proposal </w:t>
      </w:r>
      <w:r>
        <w:rPr>
          <w:b/>
          <w:bCs/>
          <w:sz w:val="22"/>
          <w:szCs w:val="22"/>
        </w:rPr>
        <w:t>3</w:t>
      </w:r>
      <w:r>
        <w:rPr>
          <w:sz w:val="22"/>
          <w:szCs w:val="22"/>
        </w:rPr>
        <w:t>:</w:t>
      </w:r>
      <w:r>
        <w:rPr>
          <w:sz w:val="22"/>
          <w:szCs w:val="22"/>
        </w:rPr>
        <w:tab/>
        <w:t xml:space="preserve">Define the referred carrier phase difference as the difference between the referred carrier phase measurements.  </w:t>
      </w:r>
    </w:p>
    <w:p w14:paraId="06D4334C" w14:textId="77777777" w:rsidR="00FB607F" w:rsidRDefault="00FB607F" w:rsidP="00FB607F">
      <w:pPr>
        <w:spacing w:after="0"/>
        <w:jc w:val="both"/>
        <w:rPr>
          <w:sz w:val="22"/>
          <w:szCs w:val="22"/>
        </w:rPr>
      </w:pPr>
    </w:p>
    <w:p w14:paraId="15C0AFB2" w14:textId="77777777" w:rsidR="00FB607F" w:rsidRDefault="00FB607F" w:rsidP="00FB607F">
      <w:pPr>
        <w:spacing w:after="0"/>
        <w:ind w:left="1170" w:hanging="1170"/>
        <w:jc w:val="both"/>
        <w:rPr>
          <w:sz w:val="22"/>
          <w:szCs w:val="22"/>
        </w:rPr>
      </w:pPr>
      <w:r w:rsidRPr="00AB4278">
        <w:rPr>
          <w:b/>
          <w:bCs/>
          <w:sz w:val="22"/>
          <w:szCs w:val="22"/>
        </w:rPr>
        <w:t xml:space="preserve">Proposal </w:t>
      </w:r>
      <w:r>
        <w:rPr>
          <w:b/>
          <w:bCs/>
          <w:sz w:val="22"/>
          <w:szCs w:val="22"/>
        </w:rPr>
        <w:t>4</w:t>
      </w:r>
      <w:r>
        <w:rPr>
          <w:sz w:val="22"/>
          <w:szCs w:val="22"/>
        </w:rPr>
        <w:t>:</w:t>
      </w:r>
      <w:r>
        <w:rPr>
          <w:sz w:val="22"/>
          <w:szCs w:val="22"/>
        </w:rPr>
        <w:tab/>
        <w:t>Define the same common reference time for the UE and the PRU.</w:t>
      </w:r>
    </w:p>
    <w:p w14:paraId="1C210546" w14:textId="77777777" w:rsidR="00FB607F" w:rsidRDefault="00FB607F" w:rsidP="00FB607F">
      <w:pPr>
        <w:spacing w:after="0"/>
        <w:ind w:left="1170" w:hanging="1170"/>
        <w:jc w:val="both"/>
        <w:rPr>
          <w:sz w:val="22"/>
          <w:szCs w:val="22"/>
        </w:rPr>
      </w:pPr>
    </w:p>
    <w:p w14:paraId="39D41E74" w14:textId="77777777" w:rsidR="00FB607F" w:rsidRDefault="00FB607F" w:rsidP="00FB607F">
      <w:pPr>
        <w:spacing w:after="0"/>
        <w:ind w:left="1170" w:hanging="1170"/>
        <w:jc w:val="both"/>
        <w:rPr>
          <w:sz w:val="22"/>
          <w:szCs w:val="22"/>
        </w:rPr>
      </w:pPr>
      <w:r w:rsidRPr="00AB4278">
        <w:rPr>
          <w:b/>
          <w:bCs/>
          <w:sz w:val="22"/>
          <w:szCs w:val="22"/>
        </w:rPr>
        <w:t xml:space="preserve">Proposal </w:t>
      </w:r>
      <w:r>
        <w:rPr>
          <w:b/>
          <w:bCs/>
          <w:sz w:val="22"/>
          <w:szCs w:val="22"/>
        </w:rPr>
        <w:t>5</w:t>
      </w:r>
      <w:r>
        <w:rPr>
          <w:sz w:val="22"/>
          <w:szCs w:val="22"/>
        </w:rPr>
        <w:t>:</w:t>
      </w:r>
      <w:r>
        <w:rPr>
          <w:sz w:val="22"/>
          <w:szCs w:val="22"/>
        </w:rPr>
        <w:tab/>
        <w:t>The UE and the PRU report either the referred carrier phase measurements or the carrier phase difference measurements computed using the referred carrier phase measurements.</w:t>
      </w:r>
    </w:p>
    <w:p w14:paraId="54A6B97C" w14:textId="77777777" w:rsidR="00FB607F" w:rsidRDefault="00FB607F" w:rsidP="00FB607F">
      <w:pPr>
        <w:spacing w:after="0"/>
        <w:jc w:val="both"/>
        <w:rPr>
          <w:sz w:val="22"/>
          <w:szCs w:val="22"/>
        </w:rPr>
      </w:pPr>
    </w:p>
    <w:p w14:paraId="43D4F321" w14:textId="77777777" w:rsidR="00CF0CC6" w:rsidRPr="00E9719C" w:rsidRDefault="00CF0CC6" w:rsidP="00EF5BED">
      <w:pPr>
        <w:spacing w:after="0"/>
        <w:jc w:val="both"/>
        <w:rPr>
          <w:sz w:val="22"/>
          <w:szCs w:val="22"/>
        </w:rPr>
      </w:pPr>
    </w:p>
    <w:p w14:paraId="69847F92" w14:textId="77777777" w:rsidR="00732B18" w:rsidRPr="004A388F" w:rsidRDefault="00732B18" w:rsidP="00732B18">
      <w:pPr>
        <w:keepNext/>
        <w:tabs>
          <w:tab w:val="left" w:pos="0"/>
          <w:tab w:val="num" w:pos="2495"/>
          <w:tab w:val="left" w:pos="4470"/>
        </w:tabs>
        <w:spacing w:after="120"/>
        <w:jc w:val="both"/>
        <w:outlineLvl w:val="0"/>
        <w:rPr>
          <w:rFonts w:ascii="Arial" w:eastAsia="MS Gothic" w:hAnsi="Arial"/>
          <w:b/>
          <w:color w:val="000000"/>
          <w:kern w:val="28"/>
          <w:sz w:val="28"/>
          <w:lang w:eastAsia="ja-JP"/>
        </w:rPr>
      </w:pPr>
      <w:bookmarkStart w:id="5" w:name="_Hlk146665520"/>
      <w:r w:rsidRPr="004A388F">
        <w:rPr>
          <w:rFonts w:ascii="Arial" w:eastAsia="MS Gothic" w:hAnsi="Arial"/>
          <w:b/>
          <w:color w:val="000000"/>
          <w:kern w:val="28"/>
          <w:sz w:val="28"/>
          <w:lang w:eastAsia="ja-JP"/>
        </w:rPr>
        <w:t>References</w:t>
      </w:r>
      <w:bookmarkEnd w:id="5"/>
      <w:r w:rsidRPr="004A388F">
        <w:rPr>
          <w:rFonts w:ascii="Arial" w:eastAsia="MS Gothic" w:hAnsi="Arial"/>
          <w:b/>
          <w:color w:val="000000"/>
          <w:kern w:val="28"/>
          <w:sz w:val="28"/>
          <w:lang w:eastAsia="ja-JP"/>
        </w:rPr>
        <w:tab/>
      </w:r>
    </w:p>
    <w:p w14:paraId="1B1EFC60" w14:textId="173A11E6" w:rsidR="00732B18" w:rsidRPr="00024326" w:rsidRDefault="00732B18" w:rsidP="00732B18">
      <w:pPr>
        <w:numPr>
          <w:ilvl w:val="0"/>
          <w:numId w:val="20"/>
        </w:numPr>
        <w:spacing w:after="60"/>
        <w:ind w:left="418" w:hanging="418"/>
        <w:rPr>
          <w:rFonts w:eastAsia="MS Gothic"/>
          <w:sz w:val="22"/>
          <w:szCs w:val="22"/>
          <w:lang w:eastAsia="ja-JP"/>
        </w:rPr>
      </w:pPr>
      <w:r w:rsidRPr="00732B18">
        <w:rPr>
          <w:sz w:val="22"/>
          <w:szCs w:val="22"/>
        </w:rPr>
        <w:t>R1-2204807</w:t>
      </w:r>
      <w:r w:rsidRPr="00B37F07">
        <w:rPr>
          <w:sz w:val="22"/>
          <w:szCs w:val="22"/>
        </w:rPr>
        <w:t>, “</w:t>
      </w:r>
      <w:r w:rsidRPr="00732B18">
        <w:rPr>
          <w:sz w:val="22"/>
          <w:szCs w:val="22"/>
        </w:rPr>
        <w:t>Design Aspects of Carrier Phase Measurements for NR Positioning</w:t>
      </w:r>
      <w:r w:rsidRPr="00B37F07">
        <w:rPr>
          <w:sz w:val="22"/>
          <w:szCs w:val="22"/>
        </w:rPr>
        <w:t xml:space="preserve">”, </w:t>
      </w:r>
      <w:r>
        <w:rPr>
          <w:sz w:val="22"/>
          <w:szCs w:val="22"/>
        </w:rPr>
        <w:t>Intel</w:t>
      </w:r>
      <w:r w:rsidRPr="00B37F07">
        <w:rPr>
          <w:sz w:val="22"/>
          <w:szCs w:val="22"/>
        </w:rPr>
        <w:t xml:space="preserve">, </w:t>
      </w:r>
      <w:r w:rsidRPr="00732B18">
        <w:rPr>
          <w:sz w:val="22"/>
          <w:szCs w:val="22"/>
        </w:rPr>
        <w:t>#109-e</w:t>
      </w:r>
      <w:r w:rsidRPr="00B37F07">
        <w:rPr>
          <w:sz w:val="22"/>
          <w:szCs w:val="22"/>
        </w:rPr>
        <w:t>.</w:t>
      </w:r>
    </w:p>
    <w:p w14:paraId="29CD4FDD" w14:textId="0B076814" w:rsidR="00DF4701" w:rsidRDefault="00DF4701" w:rsidP="00DF4701">
      <w:pPr>
        <w:numPr>
          <w:ilvl w:val="0"/>
          <w:numId w:val="20"/>
        </w:numPr>
        <w:spacing w:after="60"/>
        <w:ind w:left="418" w:hanging="418"/>
        <w:rPr>
          <w:rFonts w:eastAsia="MS Gothic"/>
          <w:sz w:val="22"/>
          <w:szCs w:val="22"/>
          <w:lang w:eastAsia="ja-JP"/>
        </w:rPr>
      </w:pPr>
      <w:r w:rsidRPr="00E46C1F">
        <w:rPr>
          <w:rFonts w:eastAsia="MS Gothic"/>
          <w:sz w:val="22"/>
          <w:szCs w:val="22"/>
          <w:lang w:eastAsia="ja-JP"/>
        </w:rPr>
        <w:t>R4-2311991</w:t>
      </w:r>
      <w:r>
        <w:rPr>
          <w:rFonts w:eastAsia="MS Gothic"/>
          <w:sz w:val="22"/>
          <w:szCs w:val="22"/>
          <w:lang w:eastAsia="ja-JP"/>
        </w:rPr>
        <w:t>,</w:t>
      </w:r>
      <w:r w:rsidR="001104AD">
        <w:rPr>
          <w:rFonts w:eastAsia="MS Gothic"/>
          <w:sz w:val="22"/>
          <w:szCs w:val="22"/>
          <w:lang w:eastAsia="ja-JP"/>
        </w:rPr>
        <w:t xml:space="preserve"> “</w:t>
      </w:r>
      <w:r w:rsidRPr="00E46C1F">
        <w:rPr>
          <w:rFonts w:eastAsia="MS Gothic"/>
          <w:sz w:val="22"/>
          <w:szCs w:val="22"/>
          <w:lang w:eastAsia="ja-JP"/>
        </w:rPr>
        <w:t>Effect of Carrier Frequency Offset on Carrier Phase Positioning</w:t>
      </w:r>
      <w:r>
        <w:rPr>
          <w:rFonts w:eastAsia="MS Gothic"/>
          <w:sz w:val="22"/>
          <w:szCs w:val="22"/>
          <w:lang w:eastAsia="ja-JP"/>
        </w:rPr>
        <w:t>,” Lenovo, Motorola Mobility, RAN4#108.</w:t>
      </w:r>
    </w:p>
    <w:p w14:paraId="5E14A6F9" w14:textId="42E27527" w:rsidR="00CC205D" w:rsidRDefault="001104AD" w:rsidP="00CC205D">
      <w:pPr>
        <w:numPr>
          <w:ilvl w:val="0"/>
          <w:numId w:val="20"/>
        </w:numPr>
        <w:spacing w:after="60"/>
        <w:ind w:left="418" w:hanging="418"/>
        <w:rPr>
          <w:rFonts w:eastAsia="MS Gothic"/>
          <w:sz w:val="22"/>
          <w:szCs w:val="22"/>
          <w:lang w:eastAsia="ja-JP"/>
        </w:rPr>
      </w:pPr>
      <w:r w:rsidRPr="001104AD">
        <w:rPr>
          <w:rFonts w:eastAsia="MS Gothic"/>
          <w:sz w:val="22"/>
          <w:szCs w:val="22"/>
          <w:lang w:eastAsia="ja-JP"/>
        </w:rPr>
        <w:t>R4-2316796</w:t>
      </w:r>
      <w:r w:rsidR="00CC205D">
        <w:rPr>
          <w:rFonts w:eastAsia="MS Gothic"/>
          <w:sz w:val="22"/>
          <w:szCs w:val="22"/>
          <w:lang w:eastAsia="ja-JP"/>
        </w:rPr>
        <w:t>,”</w:t>
      </w:r>
      <w:r w:rsidR="00CC205D" w:rsidRPr="00E46C1F">
        <w:t xml:space="preserve"> </w:t>
      </w:r>
      <w:r w:rsidRPr="001104AD">
        <w:rPr>
          <w:rFonts w:eastAsia="MS Gothic"/>
          <w:sz w:val="22"/>
          <w:szCs w:val="22"/>
          <w:lang w:eastAsia="ja-JP"/>
        </w:rPr>
        <w:t>Carrier Frequency Offset Correction for CPP</w:t>
      </w:r>
      <w:r w:rsidR="00CC205D">
        <w:rPr>
          <w:rFonts w:eastAsia="MS Gothic"/>
          <w:sz w:val="22"/>
          <w:szCs w:val="22"/>
          <w:lang w:eastAsia="ja-JP"/>
        </w:rPr>
        <w:t>,” Lenovo, Motorola Mobility, RAN4#108bis.</w:t>
      </w:r>
    </w:p>
    <w:p w14:paraId="11FBA562" w14:textId="4FF39FD6" w:rsidR="00786325" w:rsidRDefault="00202E01" w:rsidP="00786325">
      <w:pPr>
        <w:numPr>
          <w:ilvl w:val="0"/>
          <w:numId w:val="20"/>
        </w:numPr>
        <w:spacing w:after="60"/>
        <w:ind w:left="418" w:hanging="418"/>
        <w:rPr>
          <w:rFonts w:eastAsia="MS Gothic"/>
          <w:sz w:val="22"/>
          <w:szCs w:val="22"/>
          <w:lang w:eastAsia="ja-JP"/>
        </w:rPr>
      </w:pPr>
      <w:r w:rsidRPr="00202E01">
        <w:rPr>
          <w:rFonts w:eastAsia="MS Gothic"/>
          <w:sz w:val="22"/>
          <w:szCs w:val="22"/>
          <w:lang w:eastAsia="ja-JP"/>
        </w:rPr>
        <w:t>R4-2318899</w:t>
      </w:r>
      <w:r>
        <w:rPr>
          <w:rFonts w:eastAsia="MS Gothic"/>
          <w:sz w:val="22"/>
          <w:szCs w:val="22"/>
          <w:lang w:eastAsia="ja-JP"/>
        </w:rPr>
        <w:t>, “</w:t>
      </w:r>
      <w:bookmarkStart w:id="6" w:name="_Hlk163436045"/>
      <w:r w:rsidRPr="00202E01">
        <w:rPr>
          <w:rFonts w:eastAsia="MS Gothic"/>
          <w:sz w:val="22"/>
          <w:szCs w:val="22"/>
          <w:lang w:eastAsia="ja-JP"/>
        </w:rPr>
        <w:t>Correction of Carrier Phase Measurement Errors Due to Carrier Frequency Offsets</w:t>
      </w:r>
      <w:bookmarkEnd w:id="6"/>
      <w:r>
        <w:rPr>
          <w:rFonts w:eastAsia="MS Gothic"/>
          <w:sz w:val="22"/>
          <w:szCs w:val="22"/>
          <w:lang w:eastAsia="ja-JP"/>
        </w:rPr>
        <w:t>,” Lenovo, Motorola Mobility, RAN4#109.</w:t>
      </w:r>
    </w:p>
    <w:p w14:paraId="2A02C53C" w14:textId="5AD54F29" w:rsidR="000114CA" w:rsidRPr="003F6EAB" w:rsidRDefault="000114CA" w:rsidP="000114CA">
      <w:pPr>
        <w:numPr>
          <w:ilvl w:val="0"/>
          <w:numId w:val="20"/>
        </w:numPr>
        <w:spacing w:after="60"/>
        <w:ind w:left="418" w:hanging="418"/>
        <w:rPr>
          <w:rFonts w:eastAsia="MS Gothic"/>
          <w:sz w:val="22"/>
          <w:szCs w:val="22"/>
          <w:lang w:eastAsia="ja-JP"/>
        </w:rPr>
      </w:pPr>
      <w:r w:rsidRPr="00024326">
        <w:rPr>
          <w:sz w:val="22"/>
          <w:szCs w:val="22"/>
        </w:rPr>
        <w:t>R4-2402603</w:t>
      </w:r>
      <w:r>
        <w:rPr>
          <w:sz w:val="22"/>
          <w:szCs w:val="22"/>
        </w:rPr>
        <w:t>, “</w:t>
      </w:r>
      <w:r w:rsidRPr="00024326">
        <w:rPr>
          <w:sz w:val="22"/>
          <w:szCs w:val="22"/>
        </w:rPr>
        <w:t>Positioning Error Due to Carrier Frequency Offset</w:t>
      </w:r>
      <w:r>
        <w:rPr>
          <w:sz w:val="22"/>
          <w:szCs w:val="22"/>
        </w:rPr>
        <w:t>,” Lenovo, RAN4#110.</w:t>
      </w:r>
    </w:p>
    <w:p w14:paraId="59BF296A" w14:textId="5BFB7A99" w:rsidR="003F6EAB" w:rsidRPr="003F6EAB" w:rsidRDefault="003F6EAB" w:rsidP="003F6EAB">
      <w:pPr>
        <w:numPr>
          <w:ilvl w:val="0"/>
          <w:numId w:val="20"/>
        </w:numPr>
        <w:spacing w:after="60"/>
        <w:ind w:left="418" w:hanging="418"/>
        <w:rPr>
          <w:rFonts w:eastAsia="MS Gothic"/>
          <w:sz w:val="22"/>
          <w:szCs w:val="22"/>
          <w:lang w:eastAsia="ja-JP"/>
        </w:rPr>
      </w:pPr>
      <w:r w:rsidRPr="003F6EAB">
        <w:rPr>
          <w:sz w:val="22"/>
          <w:szCs w:val="22"/>
        </w:rPr>
        <w:t>R4-2405873</w:t>
      </w:r>
      <w:r>
        <w:rPr>
          <w:sz w:val="22"/>
          <w:szCs w:val="22"/>
        </w:rPr>
        <w:t>, “</w:t>
      </w:r>
      <w:r w:rsidRPr="003F6EAB">
        <w:rPr>
          <w:sz w:val="22"/>
          <w:szCs w:val="22"/>
        </w:rPr>
        <w:t>Correction of CPP Errors Due to Carrier Frequency Offsets</w:t>
      </w:r>
      <w:r>
        <w:rPr>
          <w:sz w:val="22"/>
          <w:szCs w:val="22"/>
        </w:rPr>
        <w:t>,” Lenovo, RAN4#110</w:t>
      </w:r>
      <w:r>
        <w:rPr>
          <w:sz w:val="22"/>
          <w:szCs w:val="22"/>
        </w:rPr>
        <w:t>bis</w:t>
      </w:r>
      <w:r>
        <w:rPr>
          <w:sz w:val="22"/>
          <w:szCs w:val="22"/>
        </w:rPr>
        <w:t>.</w:t>
      </w:r>
    </w:p>
    <w:p w14:paraId="6774ADA5" w14:textId="26759F87" w:rsidR="00786325" w:rsidRPr="00786325" w:rsidRDefault="00024326" w:rsidP="00786325">
      <w:pPr>
        <w:numPr>
          <w:ilvl w:val="0"/>
          <w:numId w:val="20"/>
        </w:numPr>
        <w:spacing w:after="60"/>
        <w:ind w:left="418" w:hanging="418"/>
        <w:rPr>
          <w:rFonts w:eastAsia="MS Gothic"/>
          <w:sz w:val="22"/>
          <w:szCs w:val="22"/>
          <w:lang w:eastAsia="ja-JP"/>
        </w:rPr>
      </w:pPr>
      <w:r w:rsidRPr="00024326">
        <w:rPr>
          <w:rFonts w:eastAsia="MS Gothic"/>
          <w:sz w:val="22"/>
          <w:szCs w:val="22"/>
          <w:lang w:eastAsia="ja-JP"/>
        </w:rPr>
        <w:t>R4-2321459</w:t>
      </w:r>
      <w:r>
        <w:rPr>
          <w:rFonts w:eastAsia="MS Gothic"/>
          <w:sz w:val="22"/>
          <w:szCs w:val="22"/>
          <w:lang w:eastAsia="ja-JP"/>
        </w:rPr>
        <w:t>,”</w:t>
      </w:r>
      <w:r w:rsidRPr="00024326">
        <w:t xml:space="preserve"> </w:t>
      </w:r>
      <w:r w:rsidRPr="00024326">
        <w:rPr>
          <w:rFonts w:eastAsia="MS Gothic"/>
          <w:sz w:val="22"/>
          <w:szCs w:val="22"/>
          <w:lang w:eastAsia="ja-JP"/>
        </w:rPr>
        <w:t>Updated simulation assumptions for CPP measurement</w:t>
      </w:r>
      <w:r>
        <w:rPr>
          <w:rFonts w:eastAsia="MS Gothic"/>
          <w:sz w:val="22"/>
          <w:szCs w:val="22"/>
          <w:lang w:eastAsia="ja-JP"/>
        </w:rPr>
        <w:t>,” CATT, RAN4#109.</w:t>
      </w:r>
    </w:p>
    <w:p w14:paraId="0EC4BDC7" w14:textId="59466C4C" w:rsidR="00732B18" w:rsidRPr="00E56D79" w:rsidRDefault="00732B18" w:rsidP="00E56D79">
      <w:pPr>
        <w:numPr>
          <w:ilvl w:val="0"/>
          <w:numId w:val="20"/>
        </w:numPr>
        <w:spacing w:after="60"/>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104</w:t>
      </w:r>
      <w:r w:rsidRPr="00FB0FF3">
        <w:rPr>
          <w:rFonts w:eastAsia="MS Gothic"/>
          <w:sz w:val="22"/>
          <w:szCs w:val="22"/>
          <w:lang w:eastAsia="ja-JP"/>
        </w:rPr>
        <w:t xml:space="preserve"> </w:t>
      </w:r>
      <w:r w:rsidR="00E56D79" w:rsidRPr="00E56D79">
        <w:rPr>
          <w:rFonts w:eastAsia="MS Gothic"/>
          <w:sz w:val="22"/>
          <w:szCs w:val="22"/>
          <w:lang w:eastAsia="ja-JP"/>
        </w:rPr>
        <w:t>NR;</w:t>
      </w:r>
      <w:r w:rsidR="00E56D79">
        <w:rPr>
          <w:rFonts w:eastAsia="MS Gothic"/>
          <w:sz w:val="22"/>
          <w:szCs w:val="22"/>
          <w:lang w:eastAsia="ja-JP"/>
        </w:rPr>
        <w:t xml:space="preserve"> </w:t>
      </w:r>
      <w:r w:rsidR="00E56D79" w:rsidRPr="00E56D79">
        <w:rPr>
          <w:rFonts w:eastAsia="MS Gothic"/>
          <w:sz w:val="22"/>
          <w:szCs w:val="22"/>
          <w:lang w:eastAsia="ja-JP"/>
        </w:rPr>
        <w:t>Base Station (BS) radio transmission and reception</w:t>
      </w:r>
    </w:p>
    <w:p w14:paraId="7C53C185" w14:textId="3C5C3719" w:rsidR="008E0000" w:rsidRDefault="00732B18" w:rsidP="006E35D4">
      <w:pPr>
        <w:numPr>
          <w:ilvl w:val="0"/>
          <w:numId w:val="20"/>
        </w:numPr>
        <w:spacing w:after="60"/>
        <w:ind w:left="418" w:hanging="418"/>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101-1</w:t>
      </w:r>
      <w:r w:rsidRPr="00FB0FF3">
        <w:rPr>
          <w:rFonts w:eastAsia="MS Gothic"/>
          <w:sz w:val="22"/>
          <w:szCs w:val="22"/>
          <w:lang w:eastAsia="ja-JP"/>
        </w:rPr>
        <w:t xml:space="preserve"> User Equipment radio transmission and reception; Part 1: Range1 Standalone </w:t>
      </w:r>
    </w:p>
    <w:p w14:paraId="526CE6B3" w14:textId="379B1DDE" w:rsidR="00AC6288" w:rsidRDefault="00AC6288" w:rsidP="00AC6288">
      <w:pPr>
        <w:jc w:val="both"/>
        <w:rPr>
          <w:b/>
          <w:bCs/>
          <w:sz w:val="22"/>
          <w:szCs w:val="22"/>
        </w:rPr>
      </w:pPr>
    </w:p>
    <w:p w14:paraId="338ACFCB" w14:textId="75AD072F" w:rsidR="004D78A7" w:rsidRDefault="004D78A7" w:rsidP="00AC6288">
      <w:pPr>
        <w:jc w:val="both"/>
        <w:rPr>
          <w:b/>
          <w:bCs/>
          <w:sz w:val="22"/>
          <w:szCs w:val="22"/>
        </w:rPr>
      </w:pPr>
    </w:p>
    <w:p w14:paraId="09F97D08" w14:textId="77777777" w:rsidR="00660BE0" w:rsidRPr="00EA0B25" w:rsidRDefault="00660BE0" w:rsidP="00AC6288">
      <w:pPr>
        <w:jc w:val="both"/>
        <w:rPr>
          <w:b/>
          <w:bCs/>
          <w:sz w:val="22"/>
          <w:szCs w:val="22"/>
        </w:rPr>
      </w:pPr>
    </w:p>
    <w:p w14:paraId="06AC5039" w14:textId="4DC68D97" w:rsidR="00180154" w:rsidRPr="00E56331" w:rsidRDefault="00180154" w:rsidP="00050EFC">
      <w:pPr>
        <w:spacing w:after="120"/>
        <w:jc w:val="both"/>
        <w:rPr>
          <w:sz w:val="22"/>
          <w:szCs w:val="22"/>
        </w:rPr>
      </w:pPr>
    </w:p>
    <w:sectPr w:rsidR="00180154" w:rsidRPr="00E563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216B" w14:textId="77777777" w:rsidR="00DF4861" w:rsidRDefault="00DF4861" w:rsidP="00E84719">
      <w:pPr>
        <w:spacing w:after="0"/>
      </w:pPr>
      <w:r>
        <w:separator/>
      </w:r>
    </w:p>
  </w:endnote>
  <w:endnote w:type="continuationSeparator" w:id="0">
    <w:p w14:paraId="174E30B5" w14:textId="77777777" w:rsidR="00DF4861" w:rsidRDefault="00DF4861"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2CF49" w14:textId="77777777" w:rsidR="00DF4861" w:rsidRDefault="00DF4861" w:rsidP="00E84719">
      <w:pPr>
        <w:spacing w:after="0"/>
      </w:pPr>
      <w:r>
        <w:separator/>
      </w:r>
    </w:p>
  </w:footnote>
  <w:footnote w:type="continuationSeparator" w:id="0">
    <w:p w14:paraId="0AF024DB" w14:textId="77777777" w:rsidR="00DF4861" w:rsidRDefault="00DF4861"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37CF3"/>
    <w:multiLevelType w:val="hybridMultilevel"/>
    <w:tmpl w:val="726E77DE"/>
    <w:lvl w:ilvl="0" w:tplc="6BC62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6F2"/>
    <w:multiLevelType w:val="hybridMultilevel"/>
    <w:tmpl w:val="74263BF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A73EE3"/>
    <w:multiLevelType w:val="multilevel"/>
    <w:tmpl w:val="93E67E1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F164D6A"/>
    <w:multiLevelType w:val="hybridMultilevel"/>
    <w:tmpl w:val="9EFEF5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3F50C2"/>
    <w:multiLevelType w:val="hybridMultilevel"/>
    <w:tmpl w:val="0756DA34"/>
    <w:lvl w:ilvl="0" w:tplc="5BDEE23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73555ED"/>
    <w:multiLevelType w:val="hybridMultilevel"/>
    <w:tmpl w:val="A78088BE"/>
    <w:lvl w:ilvl="0" w:tplc="BA5E3D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758C3"/>
    <w:multiLevelType w:val="multilevel"/>
    <w:tmpl w:val="DD1AB758"/>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91CAF"/>
    <w:multiLevelType w:val="hybridMultilevel"/>
    <w:tmpl w:val="5C0A7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927AEC"/>
    <w:multiLevelType w:val="hybridMultilevel"/>
    <w:tmpl w:val="E78CA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B01FE4"/>
    <w:multiLevelType w:val="hybridMultilevel"/>
    <w:tmpl w:val="5EDCB91E"/>
    <w:lvl w:ilvl="0" w:tplc="A28419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6877A2"/>
    <w:multiLevelType w:val="hybridMultilevel"/>
    <w:tmpl w:val="81807208"/>
    <w:lvl w:ilvl="0" w:tplc="25A6C8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9C62A7"/>
    <w:multiLevelType w:val="hybridMultilevel"/>
    <w:tmpl w:val="74263BF0"/>
    <w:lvl w:ilvl="0" w:tplc="EE4C8F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6B55DC"/>
    <w:multiLevelType w:val="hybridMultilevel"/>
    <w:tmpl w:val="F252EABC"/>
    <w:lvl w:ilvl="0" w:tplc="B0FE8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567CE"/>
    <w:multiLevelType w:val="hybridMultilevel"/>
    <w:tmpl w:val="B20612A6"/>
    <w:lvl w:ilvl="0" w:tplc="36DC0E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43538C"/>
    <w:multiLevelType w:val="hybridMultilevel"/>
    <w:tmpl w:val="1C26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5B4FC5"/>
    <w:multiLevelType w:val="hybridMultilevel"/>
    <w:tmpl w:val="E7347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D6EAA"/>
    <w:multiLevelType w:val="hybridMultilevel"/>
    <w:tmpl w:val="837CA55E"/>
    <w:lvl w:ilvl="0" w:tplc="EECA8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01403"/>
    <w:multiLevelType w:val="hybridMultilevel"/>
    <w:tmpl w:val="D73EE430"/>
    <w:lvl w:ilvl="0" w:tplc="EE4C8F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57626C2"/>
    <w:multiLevelType w:val="hybridMultilevel"/>
    <w:tmpl w:val="5464F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0C6394"/>
    <w:multiLevelType w:val="hybridMultilevel"/>
    <w:tmpl w:val="D2E4051A"/>
    <w:lvl w:ilvl="0" w:tplc="1506D5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6B4D40"/>
    <w:multiLevelType w:val="hybridMultilevel"/>
    <w:tmpl w:val="04DE35E0"/>
    <w:lvl w:ilvl="0" w:tplc="875E852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0B5112"/>
    <w:multiLevelType w:val="hybridMultilevel"/>
    <w:tmpl w:val="0DFA9F8C"/>
    <w:lvl w:ilvl="0" w:tplc="1A3824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D181F"/>
    <w:multiLevelType w:val="hybridMultilevel"/>
    <w:tmpl w:val="FA0A01BE"/>
    <w:lvl w:ilvl="0" w:tplc="CA060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346269">
    <w:abstractNumId w:val="11"/>
  </w:num>
  <w:num w:numId="2" w16cid:durableId="224729400">
    <w:abstractNumId w:val="37"/>
  </w:num>
  <w:num w:numId="3" w16cid:durableId="621500534">
    <w:abstractNumId w:val="3"/>
  </w:num>
  <w:num w:numId="4" w16cid:durableId="1602373695">
    <w:abstractNumId w:val="26"/>
  </w:num>
  <w:num w:numId="5" w16cid:durableId="646786602">
    <w:abstractNumId w:val="17"/>
  </w:num>
  <w:num w:numId="6" w16cid:durableId="1342003930">
    <w:abstractNumId w:val="34"/>
  </w:num>
  <w:num w:numId="7" w16cid:durableId="824008558">
    <w:abstractNumId w:val="38"/>
  </w:num>
  <w:num w:numId="8" w16cid:durableId="669214655">
    <w:abstractNumId w:val="39"/>
  </w:num>
  <w:num w:numId="9" w16cid:durableId="1483736243">
    <w:abstractNumId w:val="13"/>
  </w:num>
  <w:num w:numId="10" w16cid:durableId="114760664">
    <w:abstractNumId w:val="4"/>
  </w:num>
  <w:num w:numId="11" w16cid:durableId="1973946142">
    <w:abstractNumId w:val="20"/>
  </w:num>
  <w:num w:numId="12" w16cid:durableId="1833594957">
    <w:abstractNumId w:val="24"/>
  </w:num>
  <w:num w:numId="13" w16cid:durableId="1179731215">
    <w:abstractNumId w:val="14"/>
  </w:num>
  <w:num w:numId="14" w16cid:durableId="1537890116">
    <w:abstractNumId w:val="32"/>
  </w:num>
  <w:num w:numId="15" w16cid:durableId="707802589">
    <w:abstractNumId w:val="0"/>
  </w:num>
  <w:num w:numId="16" w16cid:durableId="1342245467">
    <w:abstractNumId w:val="33"/>
  </w:num>
  <w:num w:numId="17" w16cid:durableId="757558720">
    <w:abstractNumId w:val="41"/>
  </w:num>
  <w:num w:numId="18" w16cid:durableId="717775554">
    <w:abstractNumId w:val="22"/>
  </w:num>
  <w:num w:numId="19" w16cid:durableId="192037607">
    <w:abstractNumId w:val="6"/>
  </w:num>
  <w:num w:numId="20" w16cid:durableId="1593006639">
    <w:abstractNumId w:val="7"/>
  </w:num>
  <w:num w:numId="21" w16cid:durableId="499077850">
    <w:abstractNumId w:val="19"/>
  </w:num>
  <w:num w:numId="22" w16cid:durableId="758870794">
    <w:abstractNumId w:val="28"/>
  </w:num>
  <w:num w:numId="23" w16cid:durableId="181865345">
    <w:abstractNumId w:val="1"/>
  </w:num>
  <w:num w:numId="24" w16cid:durableId="2115439964">
    <w:abstractNumId w:val="30"/>
  </w:num>
  <w:num w:numId="25" w16cid:durableId="583690921">
    <w:abstractNumId w:val="25"/>
  </w:num>
  <w:num w:numId="26" w16cid:durableId="777331613">
    <w:abstractNumId w:val="16"/>
  </w:num>
  <w:num w:numId="27" w16cid:durableId="1028408100">
    <w:abstractNumId w:val="21"/>
  </w:num>
  <w:num w:numId="28" w16cid:durableId="1284580820">
    <w:abstractNumId w:val="29"/>
  </w:num>
  <w:num w:numId="29" w16cid:durableId="2080975669">
    <w:abstractNumId w:val="27"/>
  </w:num>
  <w:num w:numId="30" w16cid:durableId="741098562">
    <w:abstractNumId w:val="2"/>
  </w:num>
  <w:num w:numId="31" w16cid:durableId="1494639645">
    <w:abstractNumId w:val="5"/>
  </w:num>
  <w:num w:numId="32" w16cid:durableId="1660765212">
    <w:abstractNumId w:val="15"/>
  </w:num>
  <w:num w:numId="33" w16cid:durableId="983705170">
    <w:abstractNumId w:val="35"/>
  </w:num>
  <w:num w:numId="34" w16cid:durableId="458182077">
    <w:abstractNumId w:val="31"/>
  </w:num>
  <w:num w:numId="35" w16cid:durableId="1635788666">
    <w:abstractNumId w:val="8"/>
  </w:num>
  <w:num w:numId="36" w16cid:durableId="450709626">
    <w:abstractNumId w:val="12"/>
  </w:num>
  <w:num w:numId="37" w16cid:durableId="1855849430">
    <w:abstractNumId w:val="9"/>
  </w:num>
  <w:num w:numId="38" w16cid:durableId="420414777">
    <w:abstractNumId w:val="10"/>
  </w:num>
  <w:num w:numId="39" w16cid:durableId="332799586">
    <w:abstractNumId w:val="18"/>
  </w:num>
  <w:num w:numId="40" w16cid:durableId="1337155380">
    <w:abstractNumId w:val="23"/>
  </w:num>
  <w:num w:numId="41" w16cid:durableId="333142747">
    <w:abstractNumId w:val="36"/>
  </w:num>
  <w:num w:numId="42" w16cid:durableId="1479222591">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365F"/>
    <w:rsid w:val="000066B1"/>
    <w:rsid w:val="00006C15"/>
    <w:rsid w:val="0000749C"/>
    <w:rsid w:val="00007CDC"/>
    <w:rsid w:val="00007F17"/>
    <w:rsid w:val="000108B0"/>
    <w:rsid w:val="000114CA"/>
    <w:rsid w:val="00012165"/>
    <w:rsid w:val="000125F9"/>
    <w:rsid w:val="000134F6"/>
    <w:rsid w:val="000136FC"/>
    <w:rsid w:val="000174E9"/>
    <w:rsid w:val="00021A0C"/>
    <w:rsid w:val="00021A64"/>
    <w:rsid w:val="00021FFF"/>
    <w:rsid w:val="000226DC"/>
    <w:rsid w:val="000231C2"/>
    <w:rsid w:val="0002322E"/>
    <w:rsid w:val="0002379A"/>
    <w:rsid w:val="00023F66"/>
    <w:rsid w:val="00024326"/>
    <w:rsid w:val="00024804"/>
    <w:rsid w:val="00030A8C"/>
    <w:rsid w:val="0003334B"/>
    <w:rsid w:val="000379B4"/>
    <w:rsid w:val="0004036E"/>
    <w:rsid w:val="00042837"/>
    <w:rsid w:val="0004522F"/>
    <w:rsid w:val="00045781"/>
    <w:rsid w:val="00046109"/>
    <w:rsid w:val="000475F9"/>
    <w:rsid w:val="00047997"/>
    <w:rsid w:val="00050886"/>
    <w:rsid w:val="00050C01"/>
    <w:rsid w:val="00050EFC"/>
    <w:rsid w:val="00051047"/>
    <w:rsid w:val="000525DC"/>
    <w:rsid w:val="000527F5"/>
    <w:rsid w:val="000540C6"/>
    <w:rsid w:val="00054961"/>
    <w:rsid w:val="00055029"/>
    <w:rsid w:val="0005505B"/>
    <w:rsid w:val="000553B9"/>
    <w:rsid w:val="000553C5"/>
    <w:rsid w:val="00056D23"/>
    <w:rsid w:val="000602E4"/>
    <w:rsid w:val="00061256"/>
    <w:rsid w:val="00061399"/>
    <w:rsid w:val="00061F80"/>
    <w:rsid w:val="000631DE"/>
    <w:rsid w:val="00064144"/>
    <w:rsid w:val="00064205"/>
    <w:rsid w:val="00064E0D"/>
    <w:rsid w:val="00064F76"/>
    <w:rsid w:val="00066C63"/>
    <w:rsid w:val="00071C68"/>
    <w:rsid w:val="00073F05"/>
    <w:rsid w:val="00073F23"/>
    <w:rsid w:val="00073FF9"/>
    <w:rsid w:val="00074435"/>
    <w:rsid w:val="000747C9"/>
    <w:rsid w:val="00074A36"/>
    <w:rsid w:val="000758A8"/>
    <w:rsid w:val="000765E4"/>
    <w:rsid w:val="0008162C"/>
    <w:rsid w:val="00081653"/>
    <w:rsid w:val="00082753"/>
    <w:rsid w:val="00083B99"/>
    <w:rsid w:val="00087694"/>
    <w:rsid w:val="00091EE7"/>
    <w:rsid w:val="00092A71"/>
    <w:rsid w:val="00092CD7"/>
    <w:rsid w:val="00092F09"/>
    <w:rsid w:val="00093D4E"/>
    <w:rsid w:val="0009721F"/>
    <w:rsid w:val="000A16AB"/>
    <w:rsid w:val="000A1F74"/>
    <w:rsid w:val="000A3730"/>
    <w:rsid w:val="000A4133"/>
    <w:rsid w:val="000A45F2"/>
    <w:rsid w:val="000A48C8"/>
    <w:rsid w:val="000A6462"/>
    <w:rsid w:val="000A726F"/>
    <w:rsid w:val="000B0D6C"/>
    <w:rsid w:val="000B3495"/>
    <w:rsid w:val="000B3DCB"/>
    <w:rsid w:val="000B416E"/>
    <w:rsid w:val="000B419B"/>
    <w:rsid w:val="000B437E"/>
    <w:rsid w:val="000B43A3"/>
    <w:rsid w:val="000B4C8D"/>
    <w:rsid w:val="000B51EE"/>
    <w:rsid w:val="000B5732"/>
    <w:rsid w:val="000B5B58"/>
    <w:rsid w:val="000B5BC4"/>
    <w:rsid w:val="000B65F7"/>
    <w:rsid w:val="000B7A8C"/>
    <w:rsid w:val="000C2463"/>
    <w:rsid w:val="000C338B"/>
    <w:rsid w:val="000C413D"/>
    <w:rsid w:val="000C4245"/>
    <w:rsid w:val="000C7BA4"/>
    <w:rsid w:val="000D2687"/>
    <w:rsid w:val="000D38C6"/>
    <w:rsid w:val="000D5266"/>
    <w:rsid w:val="000D5AF4"/>
    <w:rsid w:val="000D6E08"/>
    <w:rsid w:val="000E11A2"/>
    <w:rsid w:val="000E1D80"/>
    <w:rsid w:val="000E2339"/>
    <w:rsid w:val="000E2832"/>
    <w:rsid w:val="000E2B60"/>
    <w:rsid w:val="000E407D"/>
    <w:rsid w:val="000E5D13"/>
    <w:rsid w:val="000E630B"/>
    <w:rsid w:val="000E65D1"/>
    <w:rsid w:val="000F0A0F"/>
    <w:rsid w:val="000F16BA"/>
    <w:rsid w:val="000F2B91"/>
    <w:rsid w:val="000F3EAB"/>
    <w:rsid w:val="000F5A16"/>
    <w:rsid w:val="000F68D8"/>
    <w:rsid w:val="000F7DEB"/>
    <w:rsid w:val="000F7DFE"/>
    <w:rsid w:val="001001C7"/>
    <w:rsid w:val="0010066B"/>
    <w:rsid w:val="00100CA7"/>
    <w:rsid w:val="00101997"/>
    <w:rsid w:val="001022B9"/>
    <w:rsid w:val="00102CF4"/>
    <w:rsid w:val="001033BE"/>
    <w:rsid w:val="00103B05"/>
    <w:rsid w:val="00103B6A"/>
    <w:rsid w:val="00104731"/>
    <w:rsid w:val="00104A00"/>
    <w:rsid w:val="00105804"/>
    <w:rsid w:val="00105DEF"/>
    <w:rsid w:val="001061F8"/>
    <w:rsid w:val="001066B2"/>
    <w:rsid w:val="00107529"/>
    <w:rsid w:val="001077AB"/>
    <w:rsid w:val="00110095"/>
    <w:rsid w:val="001101A3"/>
    <w:rsid w:val="001104AD"/>
    <w:rsid w:val="001108D8"/>
    <w:rsid w:val="00110E35"/>
    <w:rsid w:val="00111477"/>
    <w:rsid w:val="001120ED"/>
    <w:rsid w:val="00112FB1"/>
    <w:rsid w:val="0011303B"/>
    <w:rsid w:val="001160EC"/>
    <w:rsid w:val="00117664"/>
    <w:rsid w:val="001204FC"/>
    <w:rsid w:val="0012064D"/>
    <w:rsid w:val="001222B7"/>
    <w:rsid w:val="00122DFB"/>
    <w:rsid w:val="0012488F"/>
    <w:rsid w:val="00124A53"/>
    <w:rsid w:val="0012610A"/>
    <w:rsid w:val="00130AA0"/>
    <w:rsid w:val="00132EF0"/>
    <w:rsid w:val="00132F67"/>
    <w:rsid w:val="001339E6"/>
    <w:rsid w:val="001358FC"/>
    <w:rsid w:val="001401CA"/>
    <w:rsid w:val="00141076"/>
    <w:rsid w:val="00143EE8"/>
    <w:rsid w:val="00152C05"/>
    <w:rsid w:val="00152FE6"/>
    <w:rsid w:val="00153A12"/>
    <w:rsid w:val="00153A82"/>
    <w:rsid w:val="00153BC7"/>
    <w:rsid w:val="001547DB"/>
    <w:rsid w:val="001551A2"/>
    <w:rsid w:val="001553F9"/>
    <w:rsid w:val="001576F0"/>
    <w:rsid w:val="00160806"/>
    <w:rsid w:val="00160D5A"/>
    <w:rsid w:val="001611DD"/>
    <w:rsid w:val="0016369E"/>
    <w:rsid w:val="00163FB6"/>
    <w:rsid w:val="001641E9"/>
    <w:rsid w:val="001648E9"/>
    <w:rsid w:val="00165471"/>
    <w:rsid w:val="001656E5"/>
    <w:rsid w:val="0016595B"/>
    <w:rsid w:val="00170B5A"/>
    <w:rsid w:val="0017265F"/>
    <w:rsid w:val="001736AB"/>
    <w:rsid w:val="00173CF1"/>
    <w:rsid w:val="00174AC4"/>
    <w:rsid w:val="00175696"/>
    <w:rsid w:val="001763AB"/>
    <w:rsid w:val="001767F8"/>
    <w:rsid w:val="00180154"/>
    <w:rsid w:val="00181C73"/>
    <w:rsid w:val="001821E3"/>
    <w:rsid w:val="00183180"/>
    <w:rsid w:val="001832A8"/>
    <w:rsid w:val="00183613"/>
    <w:rsid w:val="00183A87"/>
    <w:rsid w:val="001848A2"/>
    <w:rsid w:val="00186200"/>
    <w:rsid w:val="001871D3"/>
    <w:rsid w:val="0019051D"/>
    <w:rsid w:val="00191212"/>
    <w:rsid w:val="00196E69"/>
    <w:rsid w:val="001A0600"/>
    <w:rsid w:val="001A1961"/>
    <w:rsid w:val="001A2A7E"/>
    <w:rsid w:val="001A3FB8"/>
    <w:rsid w:val="001A56CA"/>
    <w:rsid w:val="001B243E"/>
    <w:rsid w:val="001B2889"/>
    <w:rsid w:val="001B3FCF"/>
    <w:rsid w:val="001B42CE"/>
    <w:rsid w:val="001B4C76"/>
    <w:rsid w:val="001B4FD6"/>
    <w:rsid w:val="001B6C92"/>
    <w:rsid w:val="001B7E67"/>
    <w:rsid w:val="001C0193"/>
    <w:rsid w:val="001C0398"/>
    <w:rsid w:val="001C161A"/>
    <w:rsid w:val="001C1695"/>
    <w:rsid w:val="001C3FB7"/>
    <w:rsid w:val="001C62D7"/>
    <w:rsid w:val="001C6A31"/>
    <w:rsid w:val="001C780A"/>
    <w:rsid w:val="001D28FA"/>
    <w:rsid w:val="001D382A"/>
    <w:rsid w:val="001D3C01"/>
    <w:rsid w:val="001D61AB"/>
    <w:rsid w:val="001D7805"/>
    <w:rsid w:val="001E07AB"/>
    <w:rsid w:val="001E1514"/>
    <w:rsid w:val="001E20AE"/>
    <w:rsid w:val="001E2713"/>
    <w:rsid w:val="001E47B6"/>
    <w:rsid w:val="001E4BBE"/>
    <w:rsid w:val="001E4C82"/>
    <w:rsid w:val="001F1D07"/>
    <w:rsid w:val="001F216F"/>
    <w:rsid w:val="001F2DC2"/>
    <w:rsid w:val="001F3C04"/>
    <w:rsid w:val="001F5740"/>
    <w:rsid w:val="001F6257"/>
    <w:rsid w:val="001F6A94"/>
    <w:rsid w:val="001F7C6F"/>
    <w:rsid w:val="001F7F08"/>
    <w:rsid w:val="00202901"/>
    <w:rsid w:val="00202AB7"/>
    <w:rsid w:val="00202E01"/>
    <w:rsid w:val="00204C27"/>
    <w:rsid w:val="00205573"/>
    <w:rsid w:val="002056E9"/>
    <w:rsid w:val="00206EB6"/>
    <w:rsid w:val="00207AB1"/>
    <w:rsid w:val="00207C0D"/>
    <w:rsid w:val="00207F5F"/>
    <w:rsid w:val="002143D7"/>
    <w:rsid w:val="00214E90"/>
    <w:rsid w:val="002159A2"/>
    <w:rsid w:val="002203B5"/>
    <w:rsid w:val="00220B2E"/>
    <w:rsid w:val="00224705"/>
    <w:rsid w:val="00224F73"/>
    <w:rsid w:val="002259BC"/>
    <w:rsid w:val="00226C9E"/>
    <w:rsid w:val="00226EB1"/>
    <w:rsid w:val="00226EDE"/>
    <w:rsid w:val="00227196"/>
    <w:rsid w:val="00230FEC"/>
    <w:rsid w:val="00232F42"/>
    <w:rsid w:val="00233764"/>
    <w:rsid w:val="00234996"/>
    <w:rsid w:val="00236D3A"/>
    <w:rsid w:val="00240D95"/>
    <w:rsid w:val="00242183"/>
    <w:rsid w:val="002443F1"/>
    <w:rsid w:val="002445B7"/>
    <w:rsid w:val="0024472C"/>
    <w:rsid w:val="00247014"/>
    <w:rsid w:val="00247254"/>
    <w:rsid w:val="00247B5D"/>
    <w:rsid w:val="0025069B"/>
    <w:rsid w:val="00250A04"/>
    <w:rsid w:val="00250C5C"/>
    <w:rsid w:val="0025155E"/>
    <w:rsid w:val="00252C17"/>
    <w:rsid w:val="00252E87"/>
    <w:rsid w:val="00253916"/>
    <w:rsid w:val="00253A4A"/>
    <w:rsid w:val="00254C1B"/>
    <w:rsid w:val="0025547F"/>
    <w:rsid w:val="00255D1F"/>
    <w:rsid w:val="00255E8B"/>
    <w:rsid w:val="00255EEF"/>
    <w:rsid w:val="002562B7"/>
    <w:rsid w:val="002564C5"/>
    <w:rsid w:val="00257724"/>
    <w:rsid w:val="0026193B"/>
    <w:rsid w:val="00261FEA"/>
    <w:rsid w:val="0026313D"/>
    <w:rsid w:val="002633CE"/>
    <w:rsid w:val="00263538"/>
    <w:rsid w:val="00266340"/>
    <w:rsid w:val="002672EE"/>
    <w:rsid w:val="002702AF"/>
    <w:rsid w:val="0027113E"/>
    <w:rsid w:val="00271E0B"/>
    <w:rsid w:val="00272394"/>
    <w:rsid w:val="002736EC"/>
    <w:rsid w:val="002737D2"/>
    <w:rsid w:val="00273FBF"/>
    <w:rsid w:val="00274109"/>
    <w:rsid w:val="00274CFF"/>
    <w:rsid w:val="00276107"/>
    <w:rsid w:val="0027656B"/>
    <w:rsid w:val="00280762"/>
    <w:rsid w:val="00280770"/>
    <w:rsid w:val="00280999"/>
    <w:rsid w:val="00280E21"/>
    <w:rsid w:val="00281757"/>
    <w:rsid w:val="00282DD9"/>
    <w:rsid w:val="00282ECF"/>
    <w:rsid w:val="00283DC3"/>
    <w:rsid w:val="00285BF4"/>
    <w:rsid w:val="00285EFF"/>
    <w:rsid w:val="002861C6"/>
    <w:rsid w:val="002873E9"/>
    <w:rsid w:val="00287685"/>
    <w:rsid w:val="00287EDE"/>
    <w:rsid w:val="00290783"/>
    <w:rsid w:val="00290C11"/>
    <w:rsid w:val="0029104B"/>
    <w:rsid w:val="00292B8D"/>
    <w:rsid w:val="00292BB0"/>
    <w:rsid w:val="00293F6D"/>
    <w:rsid w:val="0029412B"/>
    <w:rsid w:val="00294BC0"/>
    <w:rsid w:val="002953F8"/>
    <w:rsid w:val="00295504"/>
    <w:rsid w:val="002963A9"/>
    <w:rsid w:val="0029741B"/>
    <w:rsid w:val="00297719"/>
    <w:rsid w:val="002A0349"/>
    <w:rsid w:val="002A0E78"/>
    <w:rsid w:val="002A25C8"/>
    <w:rsid w:val="002A29F5"/>
    <w:rsid w:val="002A43F6"/>
    <w:rsid w:val="002A535C"/>
    <w:rsid w:val="002A5660"/>
    <w:rsid w:val="002A5B0F"/>
    <w:rsid w:val="002A7715"/>
    <w:rsid w:val="002A7A6E"/>
    <w:rsid w:val="002B023E"/>
    <w:rsid w:val="002B15DF"/>
    <w:rsid w:val="002B1683"/>
    <w:rsid w:val="002B2361"/>
    <w:rsid w:val="002B257B"/>
    <w:rsid w:val="002B2B3A"/>
    <w:rsid w:val="002B3FFC"/>
    <w:rsid w:val="002B4B30"/>
    <w:rsid w:val="002B4FF5"/>
    <w:rsid w:val="002B5B2C"/>
    <w:rsid w:val="002B5CD7"/>
    <w:rsid w:val="002B6379"/>
    <w:rsid w:val="002B68DF"/>
    <w:rsid w:val="002B76DE"/>
    <w:rsid w:val="002B7D55"/>
    <w:rsid w:val="002C22AC"/>
    <w:rsid w:val="002C2736"/>
    <w:rsid w:val="002C30A2"/>
    <w:rsid w:val="002C4A32"/>
    <w:rsid w:val="002C5B83"/>
    <w:rsid w:val="002C6B30"/>
    <w:rsid w:val="002D2084"/>
    <w:rsid w:val="002D2256"/>
    <w:rsid w:val="002D263E"/>
    <w:rsid w:val="002D3BE1"/>
    <w:rsid w:val="002D3C33"/>
    <w:rsid w:val="002D409D"/>
    <w:rsid w:val="002E1207"/>
    <w:rsid w:val="002E1CEB"/>
    <w:rsid w:val="002E241B"/>
    <w:rsid w:val="002E2B06"/>
    <w:rsid w:val="002E36B2"/>
    <w:rsid w:val="002E5FCC"/>
    <w:rsid w:val="002E672F"/>
    <w:rsid w:val="002E69FD"/>
    <w:rsid w:val="002E6A7F"/>
    <w:rsid w:val="002E7085"/>
    <w:rsid w:val="002F0215"/>
    <w:rsid w:val="002F0E3A"/>
    <w:rsid w:val="002F357B"/>
    <w:rsid w:val="002F543D"/>
    <w:rsid w:val="002F695A"/>
    <w:rsid w:val="002F7B3A"/>
    <w:rsid w:val="002F7D6A"/>
    <w:rsid w:val="00300B64"/>
    <w:rsid w:val="00300D9B"/>
    <w:rsid w:val="00300FEA"/>
    <w:rsid w:val="0030380B"/>
    <w:rsid w:val="0030436F"/>
    <w:rsid w:val="00307243"/>
    <w:rsid w:val="003078DE"/>
    <w:rsid w:val="00310F8A"/>
    <w:rsid w:val="00311BF7"/>
    <w:rsid w:val="003124BE"/>
    <w:rsid w:val="0031282B"/>
    <w:rsid w:val="00312B27"/>
    <w:rsid w:val="00312C48"/>
    <w:rsid w:val="003148A3"/>
    <w:rsid w:val="00315933"/>
    <w:rsid w:val="0031779E"/>
    <w:rsid w:val="00317821"/>
    <w:rsid w:val="00317E03"/>
    <w:rsid w:val="003200D8"/>
    <w:rsid w:val="0032075E"/>
    <w:rsid w:val="00322566"/>
    <w:rsid w:val="00323ABF"/>
    <w:rsid w:val="00323C59"/>
    <w:rsid w:val="00324C7F"/>
    <w:rsid w:val="00324F4B"/>
    <w:rsid w:val="00325179"/>
    <w:rsid w:val="00326203"/>
    <w:rsid w:val="003263A3"/>
    <w:rsid w:val="003307E5"/>
    <w:rsid w:val="0033094F"/>
    <w:rsid w:val="00332709"/>
    <w:rsid w:val="00335515"/>
    <w:rsid w:val="00336FB6"/>
    <w:rsid w:val="003374FC"/>
    <w:rsid w:val="00340792"/>
    <w:rsid w:val="00342285"/>
    <w:rsid w:val="00342683"/>
    <w:rsid w:val="003427F9"/>
    <w:rsid w:val="00343AA4"/>
    <w:rsid w:val="00345081"/>
    <w:rsid w:val="0034607B"/>
    <w:rsid w:val="00346172"/>
    <w:rsid w:val="0034735E"/>
    <w:rsid w:val="00350052"/>
    <w:rsid w:val="003526D9"/>
    <w:rsid w:val="003558DA"/>
    <w:rsid w:val="00355D3C"/>
    <w:rsid w:val="00356D22"/>
    <w:rsid w:val="00360533"/>
    <w:rsid w:val="00362C20"/>
    <w:rsid w:val="00363149"/>
    <w:rsid w:val="003631A7"/>
    <w:rsid w:val="0036348A"/>
    <w:rsid w:val="00364A9B"/>
    <w:rsid w:val="003667D9"/>
    <w:rsid w:val="00372242"/>
    <w:rsid w:val="00372F30"/>
    <w:rsid w:val="003733DF"/>
    <w:rsid w:val="00373C91"/>
    <w:rsid w:val="00374089"/>
    <w:rsid w:val="00376B73"/>
    <w:rsid w:val="0037708B"/>
    <w:rsid w:val="003812ED"/>
    <w:rsid w:val="0038210E"/>
    <w:rsid w:val="00382556"/>
    <w:rsid w:val="00382FA3"/>
    <w:rsid w:val="003837D0"/>
    <w:rsid w:val="00384834"/>
    <w:rsid w:val="00385AE9"/>
    <w:rsid w:val="00385C42"/>
    <w:rsid w:val="003865C4"/>
    <w:rsid w:val="0038677E"/>
    <w:rsid w:val="00386A73"/>
    <w:rsid w:val="00386BE7"/>
    <w:rsid w:val="00390410"/>
    <w:rsid w:val="00390AF8"/>
    <w:rsid w:val="00390B9F"/>
    <w:rsid w:val="00390E6C"/>
    <w:rsid w:val="0039229F"/>
    <w:rsid w:val="003924EB"/>
    <w:rsid w:val="003928B4"/>
    <w:rsid w:val="00392D5C"/>
    <w:rsid w:val="00392F71"/>
    <w:rsid w:val="00393CBA"/>
    <w:rsid w:val="00393D6B"/>
    <w:rsid w:val="00394262"/>
    <w:rsid w:val="0039435B"/>
    <w:rsid w:val="0039438F"/>
    <w:rsid w:val="00395F12"/>
    <w:rsid w:val="003A1507"/>
    <w:rsid w:val="003A286D"/>
    <w:rsid w:val="003A4FE8"/>
    <w:rsid w:val="003A54FF"/>
    <w:rsid w:val="003A5AB1"/>
    <w:rsid w:val="003B07AD"/>
    <w:rsid w:val="003B15FD"/>
    <w:rsid w:val="003B23C8"/>
    <w:rsid w:val="003B328B"/>
    <w:rsid w:val="003B380A"/>
    <w:rsid w:val="003B401B"/>
    <w:rsid w:val="003B532C"/>
    <w:rsid w:val="003B65CA"/>
    <w:rsid w:val="003B690C"/>
    <w:rsid w:val="003B6E1E"/>
    <w:rsid w:val="003B72A8"/>
    <w:rsid w:val="003B7622"/>
    <w:rsid w:val="003C02D8"/>
    <w:rsid w:val="003C07A3"/>
    <w:rsid w:val="003C08E0"/>
    <w:rsid w:val="003C1144"/>
    <w:rsid w:val="003C1AA2"/>
    <w:rsid w:val="003C3407"/>
    <w:rsid w:val="003C3ABE"/>
    <w:rsid w:val="003C50CC"/>
    <w:rsid w:val="003C69D5"/>
    <w:rsid w:val="003C6A74"/>
    <w:rsid w:val="003D130F"/>
    <w:rsid w:val="003D1F2B"/>
    <w:rsid w:val="003D27A0"/>
    <w:rsid w:val="003D2BD4"/>
    <w:rsid w:val="003D2D53"/>
    <w:rsid w:val="003D3836"/>
    <w:rsid w:val="003D41CD"/>
    <w:rsid w:val="003D4501"/>
    <w:rsid w:val="003D4D49"/>
    <w:rsid w:val="003D4DB6"/>
    <w:rsid w:val="003D4E80"/>
    <w:rsid w:val="003D58F2"/>
    <w:rsid w:val="003D6393"/>
    <w:rsid w:val="003D66CA"/>
    <w:rsid w:val="003D6856"/>
    <w:rsid w:val="003E04E9"/>
    <w:rsid w:val="003E102D"/>
    <w:rsid w:val="003E1BA9"/>
    <w:rsid w:val="003E2567"/>
    <w:rsid w:val="003E52BE"/>
    <w:rsid w:val="003E5C09"/>
    <w:rsid w:val="003E7EE9"/>
    <w:rsid w:val="003F0665"/>
    <w:rsid w:val="003F134F"/>
    <w:rsid w:val="003F2962"/>
    <w:rsid w:val="003F36CB"/>
    <w:rsid w:val="003F47AC"/>
    <w:rsid w:val="003F58A0"/>
    <w:rsid w:val="003F62A9"/>
    <w:rsid w:val="003F6B42"/>
    <w:rsid w:val="003F6EAB"/>
    <w:rsid w:val="003F6F62"/>
    <w:rsid w:val="003F74A3"/>
    <w:rsid w:val="003F7671"/>
    <w:rsid w:val="003F7C53"/>
    <w:rsid w:val="003F7F73"/>
    <w:rsid w:val="00402CEA"/>
    <w:rsid w:val="004056E2"/>
    <w:rsid w:val="00405932"/>
    <w:rsid w:val="00405C72"/>
    <w:rsid w:val="0040715D"/>
    <w:rsid w:val="0040735B"/>
    <w:rsid w:val="00407685"/>
    <w:rsid w:val="00412E32"/>
    <w:rsid w:val="004132B4"/>
    <w:rsid w:val="004135DF"/>
    <w:rsid w:val="00414A36"/>
    <w:rsid w:val="00415B7B"/>
    <w:rsid w:val="00416D37"/>
    <w:rsid w:val="00417C70"/>
    <w:rsid w:val="00417CAD"/>
    <w:rsid w:val="004203AA"/>
    <w:rsid w:val="0042283C"/>
    <w:rsid w:val="00424910"/>
    <w:rsid w:val="00425070"/>
    <w:rsid w:val="0042528F"/>
    <w:rsid w:val="00425FE1"/>
    <w:rsid w:val="00427EB7"/>
    <w:rsid w:val="00430E61"/>
    <w:rsid w:val="00432290"/>
    <w:rsid w:val="00432CD9"/>
    <w:rsid w:val="00436DA8"/>
    <w:rsid w:val="004374CF"/>
    <w:rsid w:val="004416D6"/>
    <w:rsid w:val="00441AA9"/>
    <w:rsid w:val="00441D6D"/>
    <w:rsid w:val="00441DA9"/>
    <w:rsid w:val="004424F8"/>
    <w:rsid w:val="004432BF"/>
    <w:rsid w:val="004444DC"/>
    <w:rsid w:val="004453FF"/>
    <w:rsid w:val="0044633F"/>
    <w:rsid w:val="00446419"/>
    <w:rsid w:val="00446AF9"/>
    <w:rsid w:val="00447AAA"/>
    <w:rsid w:val="00450225"/>
    <w:rsid w:val="00450D79"/>
    <w:rsid w:val="00450F3A"/>
    <w:rsid w:val="004512D6"/>
    <w:rsid w:val="004523E2"/>
    <w:rsid w:val="004558F2"/>
    <w:rsid w:val="00457EEE"/>
    <w:rsid w:val="0046013D"/>
    <w:rsid w:val="00460A8A"/>
    <w:rsid w:val="00461975"/>
    <w:rsid w:val="00461C8C"/>
    <w:rsid w:val="004640D9"/>
    <w:rsid w:val="00464295"/>
    <w:rsid w:val="004647E3"/>
    <w:rsid w:val="00464F13"/>
    <w:rsid w:val="004666F9"/>
    <w:rsid w:val="00466D7F"/>
    <w:rsid w:val="00466E91"/>
    <w:rsid w:val="0046701D"/>
    <w:rsid w:val="00467F7B"/>
    <w:rsid w:val="004700FA"/>
    <w:rsid w:val="0047044B"/>
    <w:rsid w:val="00470C7B"/>
    <w:rsid w:val="00470F8A"/>
    <w:rsid w:val="004746B6"/>
    <w:rsid w:val="00475C81"/>
    <w:rsid w:val="00476170"/>
    <w:rsid w:val="004774A7"/>
    <w:rsid w:val="00477C6C"/>
    <w:rsid w:val="00477FB9"/>
    <w:rsid w:val="00480612"/>
    <w:rsid w:val="004810F6"/>
    <w:rsid w:val="00484EED"/>
    <w:rsid w:val="004852AB"/>
    <w:rsid w:val="00487EF2"/>
    <w:rsid w:val="004909FE"/>
    <w:rsid w:val="00491D23"/>
    <w:rsid w:val="00491F9B"/>
    <w:rsid w:val="00495E94"/>
    <w:rsid w:val="00497F48"/>
    <w:rsid w:val="004A097E"/>
    <w:rsid w:val="004A0CE7"/>
    <w:rsid w:val="004A2C6E"/>
    <w:rsid w:val="004A388F"/>
    <w:rsid w:val="004A3B73"/>
    <w:rsid w:val="004A4C1E"/>
    <w:rsid w:val="004A58EA"/>
    <w:rsid w:val="004A5CF0"/>
    <w:rsid w:val="004A7AD7"/>
    <w:rsid w:val="004B02BF"/>
    <w:rsid w:val="004B0B22"/>
    <w:rsid w:val="004B26A6"/>
    <w:rsid w:val="004B3230"/>
    <w:rsid w:val="004B3608"/>
    <w:rsid w:val="004B3B7B"/>
    <w:rsid w:val="004B419E"/>
    <w:rsid w:val="004B4F4D"/>
    <w:rsid w:val="004B5B02"/>
    <w:rsid w:val="004C0EC4"/>
    <w:rsid w:val="004C30B7"/>
    <w:rsid w:val="004C39C7"/>
    <w:rsid w:val="004C39E1"/>
    <w:rsid w:val="004C62A1"/>
    <w:rsid w:val="004C648A"/>
    <w:rsid w:val="004C6982"/>
    <w:rsid w:val="004C795F"/>
    <w:rsid w:val="004D02EE"/>
    <w:rsid w:val="004D12A2"/>
    <w:rsid w:val="004D1759"/>
    <w:rsid w:val="004D4EDA"/>
    <w:rsid w:val="004D66F0"/>
    <w:rsid w:val="004D6D3F"/>
    <w:rsid w:val="004D6F21"/>
    <w:rsid w:val="004D78A7"/>
    <w:rsid w:val="004E07DE"/>
    <w:rsid w:val="004E0D12"/>
    <w:rsid w:val="004E115C"/>
    <w:rsid w:val="004E1AB5"/>
    <w:rsid w:val="004E2731"/>
    <w:rsid w:val="004E36B7"/>
    <w:rsid w:val="004E5CA8"/>
    <w:rsid w:val="004E718B"/>
    <w:rsid w:val="004E7D3D"/>
    <w:rsid w:val="004F051D"/>
    <w:rsid w:val="004F0830"/>
    <w:rsid w:val="004F1D58"/>
    <w:rsid w:val="004F20DA"/>
    <w:rsid w:val="004F225F"/>
    <w:rsid w:val="004F27D9"/>
    <w:rsid w:val="004F3600"/>
    <w:rsid w:val="004F4697"/>
    <w:rsid w:val="004F56E5"/>
    <w:rsid w:val="004F5CDA"/>
    <w:rsid w:val="004F5FE6"/>
    <w:rsid w:val="004F6B1D"/>
    <w:rsid w:val="004F75CD"/>
    <w:rsid w:val="004F77EC"/>
    <w:rsid w:val="004F7B3B"/>
    <w:rsid w:val="00500062"/>
    <w:rsid w:val="005001AF"/>
    <w:rsid w:val="0050040B"/>
    <w:rsid w:val="00502DD2"/>
    <w:rsid w:val="00502F72"/>
    <w:rsid w:val="0050364D"/>
    <w:rsid w:val="00503BFE"/>
    <w:rsid w:val="005056E4"/>
    <w:rsid w:val="00505E60"/>
    <w:rsid w:val="005061DA"/>
    <w:rsid w:val="0050668D"/>
    <w:rsid w:val="00507B25"/>
    <w:rsid w:val="00511485"/>
    <w:rsid w:val="00513B7F"/>
    <w:rsid w:val="00513D20"/>
    <w:rsid w:val="00514C5F"/>
    <w:rsid w:val="00514E3C"/>
    <w:rsid w:val="00515765"/>
    <w:rsid w:val="00515CD3"/>
    <w:rsid w:val="00515E47"/>
    <w:rsid w:val="00516764"/>
    <w:rsid w:val="00520EC2"/>
    <w:rsid w:val="00521820"/>
    <w:rsid w:val="00523AC0"/>
    <w:rsid w:val="0052615B"/>
    <w:rsid w:val="0052622D"/>
    <w:rsid w:val="00526329"/>
    <w:rsid w:val="0052662A"/>
    <w:rsid w:val="0053052F"/>
    <w:rsid w:val="00530CBA"/>
    <w:rsid w:val="00532097"/>
    <w:rsid w:val="00532103"/>
    <w:rsid w:val="00535AF4"/>
    <w:rsid w:val="00536515"/>
    <w:rsid w:val="00536A2B"/>
    <w:rsid w:val="00537DBB"/>
    <w:rsid w:val="00541D6D"/>
    <w:rsid w:val="00544C43"/>
    <w:rsid w:val="00545385"/>
    <w:rsid w:val="00545B45"/>
    <w:rsid w:val="00546273"/>
    <w:rsid w:val="00546309"/>
    <w:rsid w:val="0054669F"/>
    <w:rsid w:val="00547187"/>
    <w:rsid w:val="005500F8"/>
    <w:rsid w:val="00552299"/>
    <w:rsid w:val="00554950"/>
    <w:rsid w:val="00556633"/>
    <w:rsid w:val="005605F7"/>
    <w:rsid w:val="0056076B"/>
    <w:rsid w:val="00560F4E"/>
    <w:rsid w:val="00561414"/>
    <w:rsid w:val="00562339"/>
    <w:rsid w:val="0056278A"/>
    <w:rsid w:val="00563D9D"/>
    <w:rsid w:val="005647D1"/>
    <w:rsid w:val="0056522C"/>
    <w:rsid w:val="005657C2"/>
    <w:rsid w:val="005665AE"/>
    <w:rsid w:val="00570A8F"/>
    <w:rsid w:val="00571529"/>
    <w:rsid w:val="00571C94"/>
    <w:rsid w:val="005722DC"/>
    <w:rsid w:val="00572818"/>
    <w:rsid w:val="00573350"/>
    <w:rsid w:val="0057367D"/>
    <w:rsid w:val="00573915"/>
    <w:rsid w:val="005745E7"/>
    <w:rsid w:val="005748DC"/>
    <w:rsid w:val="005753B9"/>
    <w:rsid w:val="005753E6"/>
    <w:rsid w:val="005754DB"/>
    <w:rsid w:val="00575E63"/>
    <w:rsid w:val="00577FC7"/>
    <w:rsid w:val="00581AAC"/>
    <w:rsid w:val="00582125"/>
    <w:rsid w:val="005825EA"/>
    <w:rsid w:val="00583430"/>
    <w:rsid w:val="00585AEB"/>
    <w:rsid w:val="005866A0"/>
    <w:rsid w:val="00587F47"/>
    <w:rsid w:val="00591420"/>
    <w:rsid w:val="00592468"/>
    <w:rsid w:val="0059286C"/>
    <w:rsid w:val="00592ECD"/>
    <w:rsid w:val="005938A0"/>
    <w:rsid w:val="00593AE8"/>
    <w:rsid w:val="005941C8"/>
    <w:rsid w:val="0059435E"/>
    <w:rsid w:val="00595E65"/>
    <w:rsid w:val="0059611B"/>
    <w:rsid w:val="00596310"/>
    <w:rsid w:val="00596A18"/>
    <w:rsid w:val="00596FC4"/>
    <w:rsid w:val="0059787D"/>
    <w:rsid w:val="005A3243"/>
    <w:rsid w:val="005A42F5"/>
    <w:rsid w:val="005A4EC2"/>
    <w:rsid w:val="005A5B49"/>
    <w:rsid w:val="005A675F"/>
    <w:rsid w:val="005B014B"/>
    <w:rsid w:val="005B26C6"/>
    <w:rsid w:val="005B3A4B"/>
    <w:rsid w:val="005B4ACF"/>
    <w:rsid w:val="005B53EB"/>
    <w:rsid w:val="005B6D32"/>
    <w:rsid w:val="005B6D80"/>
    <w:rsid w:val="005B6E5E"/>
    <w:rsid w:val="005C10A5"/>
    <w:rsid w:val="005C267B"/>
    <w:rsid w:val="005C33BE"/>
    <w:rsid w:val="005C4A56"/>
    <w:rsid w:val="005C68BC"/>
    <w:rsid w:val="005C6A75"/>
    <w:rsid w:val="005C7DF9"/>
    <w:rsid w:val="005D0F20"/>
    <w:rsid w:val="005D174B"/>
    <w:rsid w:val="005D1A85"/>
    <w:rsid w:val="005D2C39"/>
    <w:rsid w:val="005D344F"/>
    <w:rsid w:val="005D6B75"/>
    <w:rsid w:val="005D6C94"/>
    <w:rsid w:val="005D7082"/>
    <w:rsid w:val="005D7256"/>
    <w:rsid w:val="005E099E"/>
    <w:rsid w:val="005E1131"/>
    <w:rsid w:val="005E190A"/>
    <w:rsid w:val="005E31BD"/>
    <w:rsid w:val="005E5C81"/>
    <w:rsid w:val="005E66A5"/>
    <w:rsid w:val="005E6BA7"/>
    <w:rsid w:val="005E6D26"/>
    <w:rsid w:val="005F02E3"/>
    <w:rsid w:val="005F0A27"/>
    <w:rsid w:val="005F1E68"/>
    <w:rsid w:val="005F27F0"/>
    <w:rsid w:val="005F3876"/>
    <w:rsid w:val="005F45B6"/>
    <w:rsid w:val="005F5AAA"/>
    <w:rsid w:val="005F6BB4"/>
    <w:rsid w:val="005F6F3A"/>
    <w:rsid w:val="00600E27"/>
    <w:rsid w:val="00601777"/>
    <w:rsid w:val="00602CDA"/>
    <w:rsid w:val="00602CE3"/>
    <w:rsid w:val="0060674D"/>
    <w:rsid w:val="00606D9D"/>
    <w:rsid w:val="00607A00"/>
    <w:rsid w:val="00612E84"/>
    <w:rsid w:val="00613DB3"/>
    <w:rsid w:val="00613E12"/>
    <w:rsid w:val="006150CF"/>
    <w:rsid w:val="00615A54"/>
    <w:rsid w:val="00616C24"/>
    <w:rsid w:val="0061768A"/>
    <w:rsid w:val="006210BA"/>
    <w:rsid w:val="006219CE"/>
    <w:rsid w:val="00626158"/>
    <w:rsid w:val="0062651D"/>
    <w:rsid w:val="006270F6"/>
    <w:rsid w:val="006278EB"/>
    <w:rsid w:val="00630CD5"/>
    <w:rsid w:val="006315B7"/>
    <w:rsid w:val="00631EE5"/>
    <w:rsid w:val="00633E00"/>
    <w:rsid w:val="00635D2B"/>
    <w:rsid w:val="006374CC"/>
    <w:rsid w:val="0064145B"/>
    <w:rsid w:val="0064173C"/>
    <w:rsid w:val="00641D7B"/>
    <w:rsid w:val="006425E0"/>
    <w:rsid w:val="00643423"/>
    <w:rsid w:val="00643C4B"/>
    <w:rsid w:val="00645964"/>
    <w:rsid w:val="006469E6"/>
    <w:rsid w:val="006479F8"/>
    <w:rsid w:val="00647C0C"/>
    <w:rsid w:val="006500E1"/>
    <w:rsid w:val="00650861"/>
    <w:rsid w:val="00653423"/>
    <w:rsid w:val="006536A6"/>
    <w:rsid w:val="00653C91"/>
    <w:rsid w:val="006565FB"/>
    <w:rsid w:val="00660BE0"/>
    <w:rsid w:val="0066130A"/>
    <w:rsid w:val="00661FB2"/>
    <w:rsid w:val="006660DD"/>
    <w:rsid w:val="00666A12"/>
    <w:rsid w:val="006674AE"/>
    <w:rsid w:val="00671861"/>
    <w:rsid w:val="00672234"/>
    <w:rsid w:val="00674F24"/>
    <w:rsid w:val="00677991"/>
    <w:rsid w:val="0067799E"/>
    <w:rsid w:val="006812FC"/>
    <w:rsid w:val="00681343"/>
    <w:rsid w:val="00681E7D"/>
    <w:rsid w:val="006826D2"/>
    <w:rsid w:val="00683D82"/>
    <w:rsid w:val="00684D34"/>
    <w:rsid w:val="00685921"/>
    <w:rsid w:val="00685C00"/>
    <w:rsid w:val="00690025"/>
    <w:rsid w:val="006903CB"/>
    <w:rsid w:val="00690B14"/>
    <w:rsid w:val="00690CC0"/>
    <w:rsid w:val="0069112C"/>
    <w:rsid w:val="00692125"/>
    <w:rsid w:val="00693131"/>
    <w:rsid w:val="00693632"/>
    <w:rsid w:val="006938A1"/>
    <w:rsid w:val="00693B3C"/>
    <w:rsid w:val="0069428A"/>
    <w:rsid w:val="006944F1"/>
    <w:rsid w:val="00695418"/>
    <w:rsid w:val="00696633"/>
    <w:rsid w:val="00696758"/>
    <w:rsid w:val="00696DFF"/>
    <w:rsid w:val="00697697"/>
    <w:rsid w:val="00697967"/>
    <w:rsid w:val="006A061F"/>
    <w:rsid w:val="006A17B3"/>
    <w:rsid w:val="006A3C57"/>
    <w:rsid w:val="006A4BA9"/>
    <w:rsid w:val="006A5ABC"/>
    <w:rsid w:val="006A5E17"/>
    <w:rsid w:val="006A6E4A"/>
    <w:rsid w:val="006A7D49"/>
    <w:rsid w:val="006B0DD4"/>
    <w:rsid w:val="006B3658"/>
    <w:rsid w:val="006B4E6A"/>
    <w:rsid w:val="006B746E"/>
    <w:rsid w:val="006B751A"/>
    <w:rsid w:val="006C009A"/>
    <w:rsid w:val="006C0465"/>
    <w:rsid w:val="006C2972"/>
    <w:rsid w:val="006C3574"/>
    <w:rsid w:val="006C5467"/>
    <w:rsid w:val="006C60AE"/>
    <w:rsid w:val="006C618D"/>
    <w:rsid w:val="006D09EB"/>
    <w:rsid w:val="006D1D05"/>
    <w:rsid w:val="006D210A"/>
    <w:rsid w:val="006D323C"/>
    <w:rsid w:val="006D3424"/>
    <w:rsid w:val="006D3AD5"/>
    <w:rsid w:val="006D7408"/>
    <w:rsid w:val="006D7A53"/>
    <w:rsid w:val="006D7B22"/>
    <w:rsid w:val="006E0155"/>
    <w:rsid w:val="006E0E16"/>
    <w:rsid w:val="006E35D4"/>
    <w:rsid w:val="006E3921"/>
    <w:rsid w:val="006E4456"/>
    <w:rsid w:val="006E64AD"/>
    <w:rsid w:val="006E6940"/>
    <w:rsid w:val="006E78AE"/>
    <w:rsid w:val="006F13A0"/>
    <w:rsid w:val="006F1DB4"/>
    <w:rsid w:val="006F41D8"/>
    <w:rsid w:val="006F44D9"/>
    <w:rsid w:val="006F516F"/>
    <w:rsid w:val="006F69A9"/>
    <w:rsid w:val="00700B45"/>
    <w:rsid w:val="00700C6E"/>
    <w:rsid w:val="0070274C"/>
    <w:rsid w:val="00702D60"/>
    <w:rsid w:val="00703CC8"/>
    <w:rsid w:val="0070414A"/>
    <w:rsid w:val="00704F1B"/>
    <w:rsid w:val="00704F59"/>
    <w:rsid w:val="007056B2"/>
    <w:rsid w:val="0070572E"/>
    <w:rsid w:val="007061B9"/>
    <w:rsid w:val="00707469"/>
    <w:rsid w:val="00707AB3"/>
    <w:rsid w:val="0071147F"/>
    <w:rsid w:val="00713ADA"/>
    <w:rsid w:val="00714188"/>
    <w:rsid w:val="007156B4"/>
    <w:rsid w:val="0071593F"/>
    <w:rsid w:val="00715C52"/>
    <w:rsid w:val="00716168"/>
    <w:rsid w:val="00716F1D"/>
    <w:rsid w:val="007203F8"/>
    <w:rsid w:val="00720663"/>
    <w:rsid w:val="007211B7"/>
    <w:rsid w:val="00721D94"/>
    <w:rsid w:val="00722BF1"/>
    <w:rsid w:val="0072494F"/>
    <w:rsid w:val="007270BA"/>
    <w:rsid w:val="00727B34"/>
    <w:rsid w:val="00730A7E"/>
    <w:rsid w:val="00732201"/>
    <w:rsid w:val="00732B18"/>
    <w:rsid w:val="00733145"/>
    <w:rsid w:val="00733D82"/>
    <w:rsid w:val="0073425E"/>
    <w:rsid w:val="0073548E"/>
    <w:rsid w:val="00736192"/>
    <w:rsid w:val="007379C3"/>
    <w:rsid w:val="007409D2"/>
    <w:rsid w:val="00740E8F"/>
    <w:rsid w:val="00740EC1"/>
    <w:rsid w:val="00740F40"/>
    <w:rsid w:val="007431B9"/>
    <w:rsid w:val="00743946"/>
    <w:rsid w:val="007441D0"/>
    <w:rsid w:val="00744A16"/>
    <w:rsid w:val="00744EE5"/>
    <w:rsid w:val="00745EF4"/>
    <w:rsid w:val="00750231"/>
    <w:rsid w:val="007516D9"/>
    <w:rsid w:val="007517D2"/>
    <w:rsid w:val="00753E58"/>
    <w:rsid w:val="007563DB"/>
    <w:rsid w:val="00756500"/>
    <w:rsid w:val="0076117C"/>
    <w:rsid w:val="00761668"/>
    <w:rsid w:val="00761E19"/>
    <w:rsid w:val="00763877"/>
    <w:rsid w:val="00764682"/>
    <w:rsid w:val="00764CC5"/>
    <w:rsid w:val="0076530E"/>
    <w:rsid w:val="00766BD4"/>
    <w:rsid w:val="00766D82"/>
    <w:rsid w:val="00770FC4"/>
    <w:rsid w:val="007712B9"/>
    <w:rsid w:val="00772036"/>
    <w:rsid w:val="00772076"/>
    <w:rsid w:val="00772A7E"/>
    <w:rsid w:val="00772EC6"/>
    <w:rsid w:val="00773C81"/>
    <w:rsid w:val="00773E49"/>
    <w:rsid w:val="00774618"/>
    <w:rsid w:val="00774772"/>
    <w:rsid w:val="00774938"/>
    <w:rsid w:val="00774957"/>
    <w:rsid w:val="00775D58"/>
    <w:rsid w:val="0077695C"/>
    <w:rsid w:val="0077695E"/>
    <w:rsid w:val="00776A59"/>
    <w:rsid w:val="00777202"/>
    <w:rsid w:val="00777483"/>
    <w:rsid w:val="00777536"/>
    <w:rsid w:val="00777EBC"/>
    <w:rsid w:val="007808AD"/>
    <w:rsid w:val="007810F4"/>
    <w:rsid w:val="00781BBB"/>
    <w:rsid w:val="00782631"/>
    <w:rsid w:val="007842BD"/>
    <w:rsid w:val="00784D1E"/>
    <w:rsid w:val="0078544F"/>
    <w:rsid w:val="00786325"/>
    <w:rsid w:val="00787EBF"/>
    <w:rsid w:val="007900E3"/>
    <w:rsid w:val="00790723"/>
    <w:rsid w:val="007908DF"/>
    <w:rsid w:val="00795B35"/>
    <w:rsid w:val="00796350"/>
    <w:rsid w:val="00797404"/>
    <w:rsid w:val="007A0456"/>
    <w:rsid w:val="007A06E1"/>
    <w:rsid w:val="007A12EA"/>
    <w:rsid w:val="007A1901"/>
    <w:rsid w:val="007A2AC0"/>
    <w:rsid w:val="007A44B8"/>
    <w:rsid w:val="007A6610"/>
    <w:rsid w:val="007B01C2"/>
    <w:rsid w:val="007B0A4A"/>
    <w:rsid w:val="007B1D15"/>
    <w:rsid w:val="007B4DCF"/>
    <w:rsid w:val="007B741D"/>
    <w:rsid w:val="007C027D"/>
    <w:rsid w:val="007C0F85"/>
    <w:rsid w:val="007C1E68"/>
    <w:rsid w:val="007C1FE1"/>
    <w:rsid w:val="007C2A41"/>
    <w:rsid w:val="007C30DD"/>
    <w:rsid w:val="007C4F86"/>
    <w:rsid w:val="007C64EB"/>
    <w:rsid w:val="007C7961"/>
    <w:rsid w:val="007D054F"/>
    <w:rsid w:val="007D1F65"/>
    <w:rsid w:val="007D2CAC"/>
    <w:rsid w:val="007D3BB9"/>
    <w:rsid w:val="007D4E1E"/>
    <w:rsid w:val="007D72E3"/>
    <w:rsid w:val="007D78BF"/>
    <w:rsid w:val="007E051B"/>
    <w:rsid w:val="007E0D29"/>
    <w:rsid w:val="007E11FB"/>
    <w:rsid w:val="007E1654"/>
    <w:rsid w:val="007E1875"/>
    <w:rsid w:val="007E231E"/>
    <w:rsid w:val="007E248C"/>
    <w:rsid w:val="007E29E7"/>
    <w:rsid w:val="007E504D"/>
    <w:rsid w:val="007E5985"/>
    <w:rsid w:val="007E5A42"/>
    <w:rsid w:val="007E5BAE"/>
    <w:rsid w:val="007E5D1F"/>
    <w:rsid w:val="007E6021"/>
    <w:rsid w:val="007E6BD1"/>
    <w:rsid w:val="007E7E5A"/>
    <w:rsid w:val="007F05AB"/>
    <w:rsid w:val="007F067F"/>
    <w:rsid w:val="007F26DE"/>
    <w:rsid w:val="007F27B3"/>
    <w:rsid w:val="007F39D3"/>
    <w:rsid w:val="007F39ED"/>
    <w:rsid w:val="007F52BC"/>
    <w:rsid w:val="007F5627"/>
    <w:rsid w:val="007F6123"/>
    <w:rsid w:val="007F729C"/>
    <w:rsid w:val="007F7EA0"/>
    <w:rsid w:val="008009D6"/>
    <w:rsid w:val="00801A4A"/>
    <w:rsid w:val="00801C74"/>
    <w:rsid w:val="00801FB4"/>
    <w:rsid w:val="0080284F"/>
    <w:rsid w:val="00803C1C"/>
    <w:rsid w:val="008042DB"/>
    <w:rsid w:val="008055F7"/>
    <w:rsid w:val="00807D21"/>
    <w:rsid w:val="008103AA"/>
    <w:rsid w:val="00810FB8"/>
    <w:rsid w:val="008115B8"/>
    <w:rsid w:val="00812EF7"/>
    <w:rsid w:val="00815DCA"/>
    <w:rsid w:val="00815DE7"/>
    <w:rsid w:val="008162DE"/>
    <w:rsid w:val="00817E89"/>
    <w:rsid w:val="0082070B"/>
    <w:rsid w:val="00822517"/>
    <w:rsid w:val="00822B50"/>
    <w:rsid w:val="00826443"/>
    <w:rsid w:val="00827917"/>
    <w:rsid w:val="00831DA2"/>
    <w:rsid w:val="0083204C"/>
    <w:rsid w:val="00832CEC"/>
    <w:rsid w:val="00834138"/>
    <w:rsid w:val="00834166"/>
    <w:rsid w:val="00834BCD"/>
    <w:rsid w:val="0083597D"/>
    <w:rsid w:val="00835BEF"/>
    <w:rsid w:val="008361E8"/>
    <w:rsid w:val="00836585"/>
    <w:rsid w:val="00837FE8"/>
    <w:rsid w:val="00841E64"/>
    <w:rsid w:val="00845088"/>
    <w:rsid w:val="0084638E"/>
    <w:rsid w:val="00850121"/>
    <w:rsid w:val="00850A5E"/>
    <w:rsid w:val="00851B45"/>
    <w:rsid w:val="0085221B"/>
    <w:rsid w:val="0085268C"/>
    <w:rsid w:val="00853E10"/>
    <w:rsid w:val="008544F4"/>
    <w:rsid w:val="008547EB"/>
    <w:rsid w:val="008552CA"/>
    <w:rsid w:val="00857B45"/>
    <w:rsid w:val="008623A3"/>
    <w:rsid w:val="0086250D"/>
    <w:rsid w:val="00862B31"/>
    <w:rsid w:val="00862DA1"/>
    <w:rsid w:val="00863274"/>
    <w:rsid w:val="00863DD0"/>
    <w:rsid w:val="00864A48"/>
    <w:rsid w:val="00865261"/>
    <w:rsid w:val="00872B67"/>
    <w:rsid w:val="008742B1"/>
    <w:rsid w:val="008748B0"/>
    <w:rsid w:val="00876C34"/>
    <w:rsid w:val="0088069D"/>
    <w:rsid w:val="00880F97"/>
    <w:rsid w:val="00883437"/>
    <w:rsid w:val="00883A95"/>
    <w:rsid w:val="00884E66"/>
    <w:rsid w:val="00885FC7"/>
    <w:rsid w:val="00890003"/>
    <w:rsid w:val="00890362"/>
    <w:rsid w:val="00890801"/>
    <w:rsid w:val="00890AE6"/>
    <w:rsid w:val="008911A0"/>
    <w:rsid w:val="00891FEF"/>
    <w:rsid w:val="00893EBF"/>
    <w:rsid w:val="008947C2"/>
    <w:rsid w:val="00895939"/>
    <w:rsid w:val="00895B24"/>
    <w:rsid w:val="008967A6"/>
    <w:rsid w:val="00897992"/>
    <w:rsid w:val="00897EA3"/>
    <w:rsid w:val="008A1F89"/>
    <w:rsid w:val="008A24FA"/>
    <w:rsid w:val="008A290E"/>
    <w:rsid w:val="008A3E5E"/>
    <w:rsid w:val="008A58F0"/>
    <w:rsid w:val="008A5A67"/>
    <w:rsid w:val="008A67CA"/>
    <w:rsid w:val="008A6EE9"/>
    <w:rsid w:val="008A7A21"/>
    <w:rsid w:val="008B0A45"/>
    <w:rsid w:val="008B135B"/>
    <w:rsid w:val="008B3C7C"/>
    <w:rsid w:val="008B57E1"/>
    <w:rsid w:val="008B5869"/>
    <w:rsid w:val="008B5A8C"/>
    <w:rsid w:val="008B60C5"/>
    <w:rsid w:val="008B6269"/>
    <w:rsid w:val="008B7C1E"/>
    <w:rsid w:val="008C13E4"/>
    <w:rsid w:val="008C1792"/>
    <w:rsid w:val="008C238B"/>
    <w:rsid w:val="008C2508"/>
    <w:rsid w:val="008C2C9C"/>
    <w:rsid w:val="008C3E58"/>
    <w:rsid w:val="008C5561"/>
    <w:rsid w:val="008C75E3"/>
    <w:rsid w:val="008D370A"/>
    <w:rsid w:val="008D3A5A"/>
    <w:rsid w:val="008D4026"/>
    <w:rsid w:val="008D427D"/>
    <w:rsid w:val="008D4CBD"/>
    <w:rsid w:val="008D5C88"/>
    <w:rsid w:val="008D623F"/>
    <w:rsid w:val="008D6E1E"/>
    <w:rsid w:val="008D77EA"/>
    <w:rsid w:val="008E0000"/>
    <w:rsid w:val="008E007A"/>
    <w:rsid w:val="008E0961"/>
    <w:rsid w:val="008E154E"/>
    <w:rsid w:val="008E1F63"/>
    <w:rsid w:val="008E234F"/>
    <w:rsid w:val="008E236F"/>
    <w:rsid w:val="008E478E"/>
    <w:rsid w:val="008E55CA"/>
    <w:rsid w:val="008E63BC"/>
    <w:rsid w:val="008F012A"/>
    <w:rsid w:val="008F0EBF"/>
    <w:rsid w:val="008F106F"/>
    <w:rsid w:val="008F122F"/>
    <w:rsid w:val="008F1F36"/>
    <w:rsid w:val="008F2163"/>
    <w:rsid w:val="008F52B3"/>
    <w:rsid w:val="008F6050"/>
    <w:rsid w:val="008F7238"/>
    <w:rsid w:val="008F7CB6"/>
    <w:rsid w:val="009000A5"/>
    <w:rsid w:val="00900C6E"/>
    <w:rsid w:val="00901861"/>
    <w:rsid w:val="00902C80"/>
    <w:rsid w:val="009036A2"/>
    <w:rsid w:val="00906DAE"/>
    <w:rsid w:val="00910583"/>
    <w:rsid w:val="00913F67"/>
    <w:rsid w:val="0091489B"/>
    <w:rsid w:val="009169F6"/>
    <w:rsid w:val="00916DA3"/>
    <w:rsid w:val="009174B2"/>
    <w:rsid w:val="00920CF6"/>
    <w:rsid w:val="00920D4F"/>
    <w:rsid w:val="00920E02"/>
    <w:rsid w:val="00922AE3"/>
    <w:rsid w:val="009241DB"/>
    <w:rsid w:val="00924B8A"/>
    <w:rsid w:val="00924F7F"/>
    <w:rsid w:val="00926D3E"/>
    <w:rsid w:val="00931617"/>
    <w:rsid w:val="00931BE0"/>
    <w:rsid w:val="00933CFF"/>
    <w:rsid w:val="0093555A"/>
    <w:rsid w:val="00936CD5"/>
    <w:rsid w:val="00940B5B"/>
    <w:rsid w:val="00941A06"/>
    <w:rsid w:val="00942205"/>
    <w:rsid w:val="00945BE0"/>
    <w:rsid w:val="00946724"/>
    <w:rsid w:val="00946944"/>
    <w:rsid w:val="009473ED"/>
    <w:rsid w:val="009533A5"/>
    <w:rsid w:val="009572D9"/>
    <w:rsid w:val="0096034C"/>
    <w:rsid w:val="009613E6"/>
    <w:rsid w:val="00961FEC"/>
    <w:rsid w:val="009621B2"/>
    <w:rsid w:val="00962722"/>
    <w:rsid w:val="009639CB"/>
    <w:rsid w:val="00963FB7"/>
    <w:rsid w:val="00965FB2"/>
    <w:rsid w:val="00970ECB"/>
    <w:rsid w:val="00972935"/>
    <w:rsid w:val="00972B29"/>
    <w:rsid w:val="00972F1D"/>
    <w:rsid w:val="00974543"/>
    <w:rsid w:val="00974C9B"/>
    <w:rsid w:val="009752CF"/>
    <w:rsid w:val="00981396"/>
    <w:rsid w:val="009817DB"/>
    <w:rsid w:val="0098190E"/>
    <w:rsid w:val="0098297F"/>
    <w:rsid w:val="00982BCD"/>
    <w:rsid w:val="00984620"/>
    <w:rsid w:val="00985E9B"/>
    <w:rsid w:val="00987C0E"/>
    <w:rsid w:val="00987DE1"/>
    <w:rsid w:val="009906C2"/>
    <w:rsid w:val="00990CFD"/>
    <w:rsid w:val="00991A5C"/>
    <w:rsid w:val="00991DDC"/>
    <w:rsid w:val="00994566"/>
    <w:rsid w:val="009945DF"/>
    <w:rsid w:val="00995196"/>
    <w:rsid w:val="009952C8"/>
    <w:rsid w:val="00995690"/>
    <w:rsid w:val="00996005"/>
    <w:rsid w:val="0099629D"/>
    <w:rsid w:val="0099690A"/>
    <w:rsid w:val="00996A3F"/>
    <w:rsid w:val="00996AD7"/>
    <w:rsid w:val="009A0468"/>
    <w:rsid w:val="009A0597"/>
    <w:rsid w:val="009A36B0"/>
    <w:rsid w:val="009A376C"/>
    <w:rsid w:val="009A5B54"/>
    <w:rsid w:val="009A68F0"/>
    <w:rsid w:val="009A7E0A"/>
    <w:rsid w:val="009B0668"/>
    <w:rsid w:val="009B24F0"/>
    <w:rsid w:val="009B2683"/>
    <w:rsid w:val="009B3442"/>
    <w:rsid w:val="009B369B"/>
    <w:rsid w:val="009B44DF"/>
    <w:rsid w:val="009B648D"/>
    <w:rsid w:val="009B6661"/>
    <w:rsid w:val="009C1817"/>
    <w:rsid w:val="009C1B99"/>
    <w:rsid w:val="009C1E7F"/>
    <w:rsid w:val="009C1EA6"/>
    <w:rsid w:val="009C2C72"/>
    <w:rsid w:val="009C3D89"/>
    <w:rsid w:val="009C417C"/>
    <w:rsid w:val="009C4ACE"/>
    <w:rsid w:val="009C5CF0"/>
    <w:rsid w:val="009D1159"/>
    <w:rsid w:val="009D1471"/>
    <w:rsid w:val="009D1A99"/>
    <w:rsid w:val="009D301E"/>
    <w:rsid w:val="009D3181"/>
    <w:rsid w:val="009D50A2"/>
    <w:rsid w:val="009D524C"/>
    <w:rsid w:val="009D5F63"/>
    <w:rsid w:val="009D643F"/>
    <w:rsid w:val="009D7CFE"/>
    <w:rsid w:val="009D7ED3"/>
    <w:rsid w:val="009E036B"/>
    <w:rsid w:val="009E046C"/>
    <w:rsid w:val="009E075F"/>
    <w:rsid w:val="009E2ABD"/>
    <w:rsid w:val="009E2F1C"/>
    <w:rsid w:val="009E5820"/>
    <w:rsid w:val="009E5E3E"/>
    <w:rsid w:val="009E61BC"/>
    <w:rsid w:val="009E6BF9"/>
    <w:rsid w:val="009E7A93"/>
    <w:rsid w:val="009E7C90"/>
    <w:rsid w:val="009F1576"/>
    <w:rsid w:val="009F1672"/>
    <w:rsid w:val="009F1CDA"/>
    <w:rsid w:val="009F2E7B"/>
    <w:rsid w:val="009F3B9F"/>
    <w:rsid w:val="009F3DF7"/>
    <w:rsid w:val="009F4404"/>
    <w:rsid w:val="009F5D68"/>
    <w:rsid w:val="009F6BEB"/>
    <w:rsid w:val="009F6E05"/>
    <w:rsid w:val="009F74BB"/>
    <w:rsid w:val="009F77ED"/>
    <w:rsid w:val="00A00DED"/>
    <w:rsid w:val="00A04BE2"/>
    <w:rsid w:val="00A052AD"/>
    <w:rsid w:val="00A055FD"/>
    <w:rsid w:val="00A1070B"/>
    <w:rsid w:val="00A110AD"/>
    <w:rsid w:val="00A111CB"/>
    <w:rsid w:val="00A11E38"/>
    <w:rsid w:val="00A1206B"/>
    <w:rsid w:val="00A12130"/>
    <w:rsid w:val="00A126F6"/>
    <w:rsid w:val="00A1293E"/>
    <w:rsid w:val="00A14B2B"/>
    <w:rsid w:val="00A14E0A"/>
    <w:rsid w:val="00A15349"/>
    <w:rsid w:val="00A15B11"/>
    <w:rsid w:val="00A17BFC"/>
    <w:rsid w:val="00A20B9E"/>
    <w:rsid w:val="00A21131"/>
    <w:rsid w:val="00A22044"/>
    <w:rsid w:val="00A227E4"/>
    <w:rsid w:val="00A22AB8"/>
    <w:rsid w:val="00A24337"/>
    <w:rsid w:val="00A2596E"/>
    <w:rsid w:val="00A25FEC"/>
    <w:rsid w:val="00A268C2"/>
    <w:rsid w:val="00A26B2D"/>
    <w:rsid w:val="00A26D12"/>
    <w:rsid w:val="00A30CC0"/>
    <w:rsid w:val="00A32F45"/>
    <w:rsid w:val="00A34420"/>
    <w:rsid w:val="00A3463B"/>
    <w:rsid w:val="00A35D8C"/>
    <w:rsid w:val="00A35FF9"/>
    <w:rsid w:val="00A360BD"/>
    <w:rsid w:val="00A36B21"/>
    <w:rsid w:val="00A371F7"/>
    <w:rsid w:val="00A377EF"/>
    <w:rsid w:val="00A378AB"/>
    <w:rsid w:val="00A40627"/>
    <w:rsid w:val="00A407FF"/>
    <w:rsid w:val="00A408C2"/>
    <w:rsid w:val="00A41174"/>
    <w:rsid w:val="00A43193"/>
    <w:rsid w:val="00A43621"/>
    <w:rsid w:val="00A4379E"/>
    <w:rsid w:val="00A445FE"/>
    <w:rsid w:val="00A4705F"/>
    <w:rsid w:val="00A51DF2"/>
    <w:rsid w:val="00A54142"/>
    <w:rsid w:val="00A5427C"/>
    <w:rsid w:val="00A55179"/>
    <w:rsid w:val="00A558E7"/>
    <w:rsid w:val="00A563D0"/>
    <w:rsid w:val="00A56C7B"/>
    <w:rsid w:val="00A5752E"/>
    <w:rsid w:val="00A60B71"/>
    <w:rsid w:val="00A617D1"/>
    <w:rsid w:val="00A64555"/>
    <w:rsid w:val="00A65926"/>
    <w:rsid w:val="00A7060E"/>
    <w:rsid w:val="00A7071E"/>
    <w:rsid w:val="00A70CAB"/>
    <w:rsid w:val="00A70E93"/>
    <w:rsid w:val="00A72827"/>
    <w:rsid w:val="00A72BEC"/>
    <w:rsid w:val="00A73CC4"/>
    <w:rsid w:val="00A74DCB"/>
    <w:rsid w:val="00A75BCA"/>
    <w:rsid w:val="00A76288"/>
    <w:rsid w:val="00A769D7"/>
    <w:rsid w:val="00A77E47"/>
    <w:rsid w:val="00A80C17"/>
    <w:rsid w:val="00A8165D"/>
    <w:rsid w:val="00A83A1A"/>
    <w:rsid w:val="00A83AF0"/>
    <w:rsid w:val="00A848BA"/>
    <w:rsid w:val="00A85240"/>
    <w:rsid w:val="00A86873"/>
    <w:rsid w:val="00A87221"/>
    <w:rsid w:val="00A91F49"/>
    <w:rsid w:val="00A9257F"/>
    <w:rsid w:val="00A92C9A"/>
    <w:rsid w:val="00A94031"/>
    <w:rsid w:val="00A94447"/>
    <w:rsid w:val="00A94EF3"/>
    <w:rsid w:val="00A9707D"/>
    <w:rsid w:val="00A970B1"/>
    <w:rsid w:val="00A97F64"/>
    <w:rsid w:val="00AA0A0B"/>
    <w:rsid w:val="00AA134E"/>
    <w:rsid w:val="00AA2F08"/>
    <w:rsid w:val="00AA4F45"/>
    <w:rsid w:val="00AA5D28"/>
    <w:rsid w:val="00AA68E9"/>
    <w:rsid w:val="00AA7DD0"/>
    <w:rsid w:val="00AB07D8"/>
    <w:rsid w:val="00AB0936"/>
    <w:rsid w:val="00AB1DD6"/>
    <w:rsid w:val="00AB20F8"/>
    <w:rsid w:val="00AB2289"/>
    <w:rsid w:val="00AB325D"/>
    <w:rsid w:val="00AB3D6A"/>
    <w:rsid w:val="00AB3E54"/>
    <w:rsid w:val="00AB3E58"/>
    <w:rsid w:val="00AB4278"/>
    <w:rsid w:val="00AB553A"/>
    <w:rsid w:val="00AB56F1"/>
    <w:rsid w:val="00AB6931"/>
    <w:rsid w:val="00AB6F80"/>
    <w:rsid w:val="00AC146D"/>
    <w:rsid w:val="00AC26F6"/>
    <w:rsid w:val="00AC38E8"/>
    <w:rsid w:val="00AC3F5A"/>
    <w:rsid w:val="00AC6288"/>
    <w:rsid w:val="00AC7102"/>
    <w:rsid w:val="00AC7770"/>
    <w:rsid w:val="00AD2F99"/>
    <w:rsid w:val="00AD709D"/>
    <w:rsid w:val="00AE0C14"/>
    <w:rsid w:val="00AE0E40"/>
    <w:rsid w:val="00AE12B7"/>
    <w:rsid w:val="00AE1C58"/>
    <w:rsid w:val="00AE255B"/>
    <w:rsid w:val="00AE2CF1"/>
    <w:rsid w:val="00AE3610"/>
    <w:rsid w:val="00AE39D3"/>
    <w:rsid w:val="00AE3A12"/>
    <w:rsid w:val="00AE67F5"/>
    <w:rsid w:val="00AF0BC3"/>
    <w:rsid w:val="00AF1BC4"/>
    <w:rsid w:val="00AF5B69"/>
    <w:rsid w:val="00AF6645"/>
    <w:rsid w:val="00AF74CD"/>
    <w:rsid w:val="00AF7517"/>
    <w:rsid w:val="00AF7A25"/>
    <w:rsid w:val="00B01D2C"/>
    <w:rsid w:val="00B043AC"/>
    <w:rsid w:val="00B05406"/>
    <w:rsid w:val="00B07A71"/>
    <w:rsid w:val="00B07F47"/>
    <w:rsid w:val="00B1011C"/>
    <w:rsid w:val="00B10BA0"/>
    <w:rsid w:val="00B146B8"/>
    <w:rsid w:val="00B14F83"/>
    <w:rsid w:val="00B15EC3"/>
    <w:rsid w:val="00B163F5"/>
    <w:rsid w:val="00B177AF"/>
    <w:rsid w:val="00B22610"/>
    <w:rsid w:val="00B244D2"/>
    <w:rsid w:val="00B24C40"/>
    <w:rsid w:val="00B2500D"/>
    <w:rsid w:val="00B2583B"/>
    <w:rsid w:val="00B25D56"/>
    <w:rsid w:val="00B26447"/>
    <w:rsid w:val="00B26AB3"/>
    <w:rsid w:val="00B26B6E"/>
    <w:rsid w:val="00B3309C"/>
    <w:rsid w:val="00B33DAC"/>
    <w:rsid w:val="00B34650"/>
    <w:rsid w:val="00B37F07"/>
    <w:rsid w:val="00B4154C"/>
    <w:rsid w:val="00B42236"/>
    <w:rsid w:val="00B45F12"/>
    <w:rsid w:val="00B46F72"/>
    <w:rsid w:val="00B47796"/>
    <w:rsid w:val="00B47B28"/>
    <w:rsid w:val="00B52980"/>
    <w:rsid w:val="00B530E4"/>
    <w:rsid w:val="00B53234"/>
    <w:rsid w:val="00B54054"/>
    <w:rsid w:val="00B5500E"/>
    <w:rsid w:val="00B552C4"/>
    <w:rsid w:val="00B55381"/>
    <w:rsid w:val="00B55486"/>
    <w:rsid w:val="00B56C89"/>
    <w:rsid w:val="00B56F20"/>
    <w:rsid w:val="00B5772B"/>
    <w:rsid w:val="00B5775D"/>
    <w:rsid w:val="00B60532"/>
    <w:rsid w:val="00B6146C"/>
    <w:rsid w:val="00B61535"/>
    <w:rsid w:val="00B61D1A"/>
    <w:rsid w:val="00B620A1"/>
    <w:rsid w:val="00B66E32"/>
    <w:rsid w:val="00B674C6"/>
    <w:rsid w:val="00B71D5B"/>
    <w:rsid w:val="00B7225B"/>
    <w:rsid w:val="00B741A5"/>
    <w:rsid w:val="00B7485A"/>
    <w:rsid w:val="00B75557"/>
    <w:rsid w:val="00B75A9F"/>
    <w:rsid w:val="00B766E4"/>
    <w:rsid w:val="00B76C23"/>
    <w:rsid w:val="00B83537"/>
    <w:rsid w:val="00B844F8"/>
    <w:rsid w:val="00B84744"/>
    <w:rsid w:val="00B84AFC"/>
    <w:rsid w:val="00B857FA"/>
    <w:rsid w:val="00B86F07"/>
    <w:rsid w:val="00B873B7"/>
    <w:rsid w:val="00B87FCE"/>
    <w:rsid w:val="00B90A12"/>
    <w:rsid w:val="00B91AC8"/>
    <w:rsid w:val="00B91BED"/>
    <w:rsid w:val="00B9619C"/>
    <w:rsid w:val="00B97950"/>
    <w:rsid w:val="00BA02FD"/>
    <w:rsid w:val="00BA0C2A"/>
    <w:rsid w:val="00BA450E"/>
    <w:rsid w:val="00BA4A51"/>
    <w:rsid w:val="00BA4CF6"/>
    <w:rsid w:val="00BA5968"/>
    <w:rsid w:val="00BA5A91"/>
    <w:rsid w:val="00BB1AF7"/>
    <w:rsid w:val="00BB2A27"/>
    <w:rsid w:val="00BB4229"/>
    <w:rsid w:val="00BB67C2"/>
    <w:rsid w:val="00BB73AC"/>
    <w:rsid w:val="00BC0BCC"/>
    <w:rsid w:val="00BC1C29"/>
    <w:rsid w:val="00BC290D"/>
    <w:rsid w:val="00BC2E78"/>
    <w:rsid w:val="00BC324F"/>
    <w:rsid w:val="00BC339B"/>
    <w:rsid w:val="00BC5955"/>
    <w:rsid w:val="00BD00E2"/>
    <w:rsid w:val="00BD1B2F"/>
    <w:rsid w:val="00BD1BB2"/>
    <w:rsid w:val="00BD3C6C"/>
    <w:rsid w:val="00BD3E3A"/>
    <w:rsid w:val="00BD4DB2"/>
    <w:rsid w:val="00BD6109"/>
    <w:rsid w:val="00BD7E65"/>
    <w:rsid w:val="00BE0008"/>
    <w:rsid w:val="00BE13AD"/>
    <w:rsid w:val="00BE22FC"/>
    <w:rsid w:val="00BE39B5"/>
    <w:rsid w:val="00BE410E"/>
    <w:rsid w:val="00BE6768"/>
    <w:rsid w:val="00BE6C20"/>
    <w:rsid w:val="00BF08C1"/>
    <w:rsid w:val="00BF0AE5"/>
    <w:rsid w:val="00BF3C14"/>
    <w:rsid w:val="00BF56CF"/>
    <w:rsid w:val="00BF5B6C"/>
    <w:rsid w:val="00BF5F1A"/>
    <w:rsid w:val="00BF62FC"/>
    <w:rsid w:val="00BF703C"/>
    <w:rsid w:val="00C033C0"/>
    <w:rsid w:val="00C047AC"/>
    <w:rsid w:val="00C04C00"/>
    <w:rsid w:val="00C07521"/>
    <w:rsid w:val="00C076EC"/>
    <w:rsid w:val="00C115A5"/>
    <w:rsid w:val="00C11B05"/>
    <w:rsid w:val="00C12481"/>
    <w:rsid w:val="00C124E8"/>
    <w:rsid w:val="00C12C87"/>
    <w:rsid w:val="00C130E3"/>
    <w:rsid w:val="00C140E5"/>
    <w:rsid w:val="00C14FB1"/>
    <w:rsid w:val="00C15DBC"/>
    <w:rsid w:val="00C172BE"/>
    <w:rsid w:val="00C22D6E"/>
    <w:rsid w:val="00C239D7"/>
    <w:rsid w:val="00C2481A"/>
    <w:rsid w:val="00C25AB8"/>
    <w:rsid w:val="00C267F9"/>
    <w:rsid w:val="00C26C23"/>
    <w:rsid w:val="00C27D00"/>
    <w:rsid w:val="00C27FC9"/>
    <w:rsid w:val="00C31D15"/>
    <w:rsid w:val="00C326DA"/>
    <w:rsid w:val="00C34435"/>
    <w:rsid w:val="00C35A63"/>
    <w:rsid w:val="00C37D1F"/>
    <w:rsid w:val="00C40BD5"/>
    <w:rsid w:val="00C40E6F"/>
    <w:rsid w:val="00C40F99"/>
    <w:rsid w:val="00C42A76"/>
    <w:rsid w:val="00C42D07"/>
    <w:rsid w:val="00C434BA"/>
    <w:rsid w:val="00C44AEF"/>
    <w:rsid w:val="00C45A5F"/>
    <w:rsid w:val="00C46EF9"/>
    <w:rsid w:val="00C46F8B"/>
    <w:rsid w:val="00C47FD7"/>
    <w:rsid w:val="00C5167C"/>
    <w:rsid w:val="00C53322"/>
    <w:rsid w:val="00C53E82"/>
    <w:rsid w:val="00C54189"/>
    <w:rsid w:val="00C5524B"/>
    <w:rsid w:val="00C56EAB"/>
    <w:rsid w:val="00C60551"/>
    <w:rsid w:val="00C60D56"/>
    <w:rsid w:val="00C6107E"/>
    <w:rsid w:val="00C61799"/>
    <w:rsid w:val="00C61882"/>
    <w:rsid w:val="00C62B0A"/>
    <w:rsid w:val="00C635F0"/>
    <w:rsid w:val="00C640DA"/>
    <w:rsid w:val="00C644B7"/>
    <w:rsid w:val="00C655CC"/>
    <w:rsid w:val="00C666AC"/>
    <w:rsid w:val="00C669BD"/>
    <w:rsid w:val="00C66D6B"/>
    <w:rsid w:val="00C67498"/>
    <w:rsid w:val="00C67BB6"/>
    <w:rsid w:val="00C717CB"/>
    <w:rsid w:val="00C7184D"/>
    <w:rsid w:val="00C7291B"/>
    <w:rsid w:val="00C746A4"/>
    <w:rsid w:val="00C74B95"/>
    <w:rsid w:val="00C75499"/>
    <w:rsid w:val="00C7607C"/>
    <w:rsid w:val="00C77226"/>
    <w:rsid w:val="00C80AB2"/>
    <w:rsid w:val="00C80CB3"/>
    <w:rsid w:val="00C83488"/>
    <w:rsid w:val="00C83945"/>
    <w:rsid w:val="00C84CD9"/>
    <w:rsid w:val="00C864CD"/>
    <w:rsid w:val="00C8677F"/>
    <w:rsid w:val="00C91453"/>
    <w:rsid w:val="00C915E4"/>
    <w:rsid w:val="00C92955"/>
    <w:rsid w:val="00C933AE"/>
    <w:rsid w:val="00C93D4C"/>
    <w:rsid w:val="00C943D1"/>
    <w:rsid w:val="00C945E7"/>
    <w:rsid w:val="00CA0110"/>
    <w:rsid w:val="00CA1036"/>
    <w:rsid w:val="00CA26DC"/>
    <w:rsid w:val="00CA2C3E"/>
    <w:rsid w:val="00CA6ECE"/>
    <w:rsid w:val="00CB1BBE"/>
    <w:rsid w:val="00CB3EB0"/>
    <w:rsid w:val="00CB416F"/>
    <w:rsid w:val="00CB56EA"/>
    <w:rsid w:val="00CB7C6D"/>
    <w:rsid w:val="00CC02FB"/>
    <w:rsid w:val="00CC0CB0"/>
    <w:rsid w:val="00CC205D"/>
    <w:rsid w:val="00CC4AEE"/>
    <w:rsid w:val="00CC5DB1"/>
    <w:rsid w:val="00CC6B9D"/>
    <w:rsid w:val="00CC766F"/>
    <w:rsid w:val="00CD3611"/>
    <w:rsid w:val="00CD4C2D"/>
    <w:rsid w:val="00CD5BB3"/>
    <w:rsid w:val="00CD7A9F"/>
    <w:rsid w:val="00CE0FDC"/>
    <w:rsid w:val="00CE2CAF"/>
    <w:rsid w:val="00CE2F15"/>
    <w:rsid w:val="00CE304E"/>
    <w:rsid w:val="00CE4B98"/>
    <w:rsid w:val="00CE5E8E"/>
    <w:rsid w:val="00CE67E9"/>
    <w:rsid w:val="00CE7D97"/>
    <w:rsid w:val="00CE7FD1"/>
    <w:rsid w:val="00CF0CC6"/>
    <w:rsid w:val="00CF3796"/>
    <w:rsid w:val="00CF40CD"/>
    <w:rsid w:val="00CF4B36"/>
    <w:rsid w:val="00CF652E"/>
    <w:rsid w:val="00D000D0"/>
    <w:rsid w:val="00D000F1"/>
    <w:rsid w:val="00D00908"/>
    <w:rsid w:val="00D035B3"/>
    <w:rsid w:val="00D05210"/>
    <w:rsid w:val="00D07277"/>
    <w:rsid w:val="00D105C2"/>
    <w:rsid w:val="00D1122A"/>
    <w:rsid w:val="00D11297"/>
    <w:rsid w:val="00D11378"/>
    <w:rsid w:val="00D11CB2"/>
    <w:rsid w:val="00D12FE7"/>
    <w:rsid w:val="00D16F22"/>
    <w:rsid w:val="00D20728"/>
    <w:rsid w:val="00D22C65"/>
    <w:rsid w:val="00D22F32"/>
    <w:rsid w:val="00D23275"/>
    <w:rsid w:val="00D277A7"/>
    <w:rsid w:val="00D303C4"/>
    <w:rsid w:val="00D30F1D"/>
    <w:rsid w:val="00D32432"/>
    <w:rsid w:val="00D33D54"/>
    <w:rsid w:val="00D36D77"/>
    <w:rsid w:val="00D406C9"/>
    <w:rsid w:val="00D40A16"/>
    <w:rsid w:val="00D40DBA"/>
    <w:rsid w:val="00D40E8D"/>
    <w:rsid w:val="00D419DF"/>
    <w:rsid w:val="00D42479"/>
    <w:rsid w:val="00D437A0"/>
    <w:rsid w:val="00D46696"/>
    <w:rsid w:val="00D479A5"/>
    <w:rsid w:val="00D51181"/>
    <w:rsid w:val="00D5209F"/>
    <w:rsid w:val="00D526D7"/>
    <w:rsid w:val="00D531D7"/>
    <w:rsid w:val="00D53DA0"/>
    <w:rsid w:val="00D53FEE"/>
    <w:rsid w:val="00D5436B"/>
    <w:rsid w:val="00D55400"/>
    <w:rsid w:val="00D568ED"/>
    <w:rsid w:val="00D56FE6"/>
    <w:rsid w:val="00D57CDA"/>
    <w:rsid w:val="00D622E1"/>
    <w:rsid w:val="00D630E4"/>
    <w:rsid w:val="00D639FC"/>
    <w:rsid w:val="00D64795"/>
    <w:rsid w:val="00D64881"/>
    <w:rsid w:val="00D64C02"/>
    <w:rsid w:val="00D656E5"/>
    <w:rsid w:val="00D70313"/>
    <w:rsid w:val="00D715EB"/>
    <w:rsid w:val="00D71FBD"/>
    <w:rsid w:val="00D74921"/>
    <w:rsid w:val="00D74C42"/>
    <w:rsid w:val="00D74D0B"/>
    <w:rsid w:val="00D758D8"/>
    <w:rsid w:val="00D76A76"/>
    <w:rsid w:val="00D80A44"/>
    <w:rsid w:val="00D8178E"/>
    <w:rsid w:val="00D817B7"/>
    <w:rsid w:val="00D84136"/>
    <w:rsid w:val="00D8595E"/>
    <w:rsid w:val="00D86E82"/>
    <w:rsid w:val="00D90649"/>
    <w:rsid w:val="00D908A0"/>
    <w:rsid w:val="00D9199F"/>
    <w:rsid w:val="00D933CF"/>
    <w:rsid w:val="00D93D52"/>
    <w:rsid w:val="00DA0916"/>
    <w:rsid w:val="00DA180A"/>
    <w:rsid w:val="00DA1C51"/>
    <w:rsid w:val="00DA4682"/>
    <w:rsid w:val="00DA4AB5"/>
    <w:rsid w:val="00DA4BD5"/>
    <w:rsid w:val="00DA55B1"/>
    <w:rsid w:val="00DB0B57"/>
    <w:rsid w:val="00DB12F8"/>
    <w:rsid w:val="00DB2809"/>
    <w:rsid w:val="00DB3214"/>
    <w:rsid w:val="00DB3DA7"/>
    <w:rsid w:val="00DC0920"/>
    <w:rsid w:val="00DC3F5F"/>
    <w:rsid w:val="00DC476B"/>
    <w:rsid w:val="00DC663F"/>
    <w:rsid w:val="00DD0777"/>
    <w:rsid w:val="00DD1047"/>
    <w:rsid w:val="00DD2962"/>
    <w:rsid w:val="00DD2D26"/>
    <w:rsid w:val="00DD36DF"/>
    <w:rsid w:val="00DD3A45"/>
    <w:rsid w:val="00DD3E4F"/>
    <w:rsid w:val="00DD54ED"/>
    <w:rsid w:val="00DD6AAC"/>
    <w:rsid w:val="00DD6EBE"/>
    <w:rsid w:val="00DD7047"/>
    <w:rsid w:val="00DD73AD"/>
    <w:rsid w:val="00DE52CB"/>
    <w:rsid w:val="00DE598F"/>
    <w:rsid w:val="00DF1ABF"/>
    <w:rsid w:val="00DF3A43"/>
    <w:rsid w:val="00DF4701"/>
    <w:rsid w:val="00DF4861"/>
    <w:rsid w:val="00DF4B0B"/>
    <w:rsid w:val="00DF71A0"/>
    <w:rsid w:val="00DF72B9"/>
    <w:rsid w:val="00DF766C"/>
    <w:rsid w:val="00DF7D49"/>
    <w:rsid w:val="00E009BA"/>
    <w:rsid w:val="00E0136F"/>
    <w:rsid w:val="00E01DD1"/>
    <w:rsid w:val="00E01FD5"/>
    <w:rsid w:val="00E02711"/>
    <w:rsid w:val="00E03774"/>
    <w:rsid w:val="00E070D7"/>
    <w:rsid w:val="00E07C93"/>
    <w:rsid w:val="00E10202"/>
    <w:rsid w:val="00E1070E"/>
    <w:rsid w:val="00E10B04"/>
    <w:rsid w:val="00E11E58"/>
    <w:rsid w:val="00E136E7"/>
    <w:rsid w:val="00E13ED9"/>
    <w:rsid w:val="00E1406A"/>
    <w:rsid w:val="00E14B17"/>
    <w:rsid w:val="00E17010"/>
    <w:rsid w:val="00E17B07"/>
    <w:rsid w:val="00E207C5"/>
    <w:rsid w:val="00E21AED"/>
    <w:rsid w:val="00E26778"/>
    <w:rsid w:val="00E26E7D"/>
    <w:rsid w:val="00E32156"/>
    <w:rsid w:val="00E34161"/>
    <w:rsid w:val="00E356F5"/>
    <w:rsid w:val="00E369F2"/>
    <w:rsid w:val="00E37717"/>
    <w:rsid w:val="00E4154F"/>
    <w:rsid w:val="00E42259"/>
    <w:rsid w:val="00E42476"/>
    <w:rsid w:val="00E43A7A"/>
    <w:rsid w:val="00E442F7"/>
    <w:rsid w:val="00E454E6"/>
    <w:rsid w:val="00E45FDE"/>
    <w:rsid w:val="00E50D12"/>
    <w:rsid w:val="00E51B96"/>
    <w:rsid w:val="00E51DF1"/>
    <w:rsid w:val="00E542D1"/>
    <w:rsid w:val="00E55182"/>
    <w:rsid w:val="00E55CCC"/>
    <w:rsid w:val="00E56331"/>
    <w:rsid w:val="00E56D79"/>
    <w:rsid w:val="00E571CC"/>
    <w:rsid w:val="00E57AB2"/>
    <w:rsid w:val="00E60429"/>
    <w:rsid w:val="00E6059C"/>
    <w:rsid w:val="00E60A04"/>
    <w:rsid w:val="00E62249"/>
    <w:rsid w:val="00E630B0"/>
    <w:rsid w:val="00E64583"/>
    <w:rsid w:val="00E6465B"/>
    <w:rsid w:val="00E65629"/>
    <w:rsid w:val="00E65AD8"/>
    <w:rsid w:val="00E723C6"/>
    <w:rsid w:val="00E72971"/>
    <w:rsid w:val="00E73DA3"/>
    <w:rsid w:val="00E73DC5"/>
    <w:rsid w:val="00E73E44"/>
    <w:rsid w:val="00E752F9"/>
    <w:rsid w:val="00E755E2"/>
    <w:rsid w:val="00E77FC8"/>
    <w:rsid w:val="00E802B9"/>
    <w:rsid w:val="00E8050F"/>
    <w:rsid w:val="00E825CC"/>
    <w:rsid w:val="00E82B2C"/>
    <w:rsid w:val="00E8341C"/>
    <w:rsid w:val="00E84719"/>
    <w:rsid w:val="00E86C19"/>
    <w:rsid w:val="00E9031A"/>
    <w:rsid w:val="00E90ECF"/>
    <w:rsid w:val="00E91B47"/>
    <w:rsid w:val="00E91CB3"/>
    <w:rsid w:val="00E932F4"/>
    <w:rsid w:val="00E936E1"/>
    <w:rsid w:val="00E945C3"/>
    <w:rsid w:val="00E961F5"/>
    <w:rsid w:val="00E96386"/>
    <w:rsid w:val="00EA06E6"/>
    <w:rsid w:val="00EA1773"/>
    <w:rsid w:val="00EA4270"/>
    <w:rsid w:val="00EA4700"/>
    <w:rsid w:val="00EA6431"/>
    <w:rsid w:val="00EA6B1D"/>
    <w:rsid w:val="00EA70FE"/>
    <w:rsid w:val="00EA7144"/>
    <w:rsid w:val="00EB02ED"/>
    <w:rsid w:val="00EB05A6"/>
    <w:rsid w:val="00EB1572"/>
    <w:rsid w:val="00EB2538"/>
    <w:rsid w:val="00EB26C5"/>
    <w:rsid w:val="00EB2E86"/>
    <w:rsid w:val="00EB35A2"/>
    <w:rsid w:val="00EB430B"/>
    <w:rsid w:val="00EB4E3B"/>
    <w:rsid w:val="00EB598B"/>
    <w:rsid w:val="00EB6D3D"/>
    <w:rsid w:val="00EB7689"/>
    <w:rsid w:val="00EB79B6"/>
    <w:rsid w:val="00EB7B2C"/>
    <w:rsid w:val="00EB7DE9"/>
    <w:rsid w:val="00EC0C33"/>
    <w:rsid w:val="00EC21C9"/>
    <w:rsid w:val="00EC3AA4"/>
    <w:rsid w:val="00EC6325"/>
    <w:rsid w:val="00EC73FB"/>
    <w:rsid w:val="00ED06D1"/>
    <w:rsid w:val="00ED0FBC"/>
    <w:rsid w:val="00ED1737"/>
    <w:rsid w:val="00ED32E0"/>
    <w:rsid w:val="00ED37CF"/>
    <w:rsid w:val="00ED4F18"/>
    <w:rsid w:val="00ED5D67"/>
    <w:rsid w:val="00ED6079"/>
    <w:rsid w:val="00ED645E"/>
    <w:rsid w:val="00EE14F7"/>
    <w:rsid w:val="00EE1ED7"/>
    <w:rsid w:val="00EE32EF"/>
    <w:rsid w:val="00EE4714"/>
    <w:rsid w:val="00EE5D89"/>
    <w:rsid w:val="00EE6783"/>
    <w:rsid w:val="00EF0D67"/>
    <w:rsid w:val="00EF0EBC"/>
    <w:rsid w:val="00EF29B1"/>
    <w:rsid w:val="00EF4465"/>
    <w:rsid w:val="00EF5BED"/>
    <w:rsid w:val="00EF5D06"/>
    <w:rsid w:val="00EF76F9"/>
    <w:rsid w:val="00EF7B7F"/>
    <w:rsid w:val="00F004B7"/>
    <w:rsid w:val="00F0270B"/>
    <w:rsid w:val="00F03A1C"/>
    <w:rsid w:val="00F06B04"/>
    <w:rsid w:val="00F06D4E"/>
    <w:rsid w:val="00F0727D"/>
    <w:rsid w:val="00F07596"/>
    <w:rsid w:val="00F10404"/>
    <w:rsid w:val="00F13A2C"/>
    <w:rsid w:val="00F14496"/>
    <w:rsid w:val="00F148BB"/>
    <w:rsid w:val="00F149D6"/>
    <w:rsid w:val="00F15357"/>
    <w:rsid w:val="00F15EDF"/>
    <w:rsid w:val="00F16098"/>
    <w:rsid w:val="00F1625A"/>
    <w:rsid w:val="00F21163"/>
    <w:rsid w:val="00F23291"/>
    <w:rsid w:val="00F23DC4"/>
    <w:rsid w:val="00F24345"/>
    <w:rsid w:val="00F25488"/>
    <w:rsid w:val="00F269FD"/>
    <w:rsid w:val="00F2703C"/>
    <w:rsid w:val="00F30084"/>
    <w:rsid w:val="00F302B4"/>
    <w:rsid w:val="00F3346B"/>
    <w:rsid w:val="00F33A1B"/>
    <w:rsid w:val="00F34862"/>
    <w:rsid w:val="00F349ED"/>
    <w:rsid w:val="00F34E2C"/>
    <w:rsid w:val="00F357A9"/>
    <w:rsid w:val="00F358F9"/>
    <w:rsid w:val="00F36045"/>
    <w:rsid w:val="00F36529"/>
    <w:rsid w:val="00F378AA"/>
    <w:rsid w:val="00F404D7"/>
    <w:rsid w:val="00F4070D"/>
    <w:rsid w:val="00F41817"/>
    <w:rsid w:val="00F41B34"/>
    <w:rsid w:val="00F42228"/>
    <w:rsid w:val="00F4280E"/>
    <w:rsid w:val="00F431C5"/>
    <w:rsid w:val="00F43CC7"/>
    <w:rsid w:val="00F4448F"/>
    <w:rsid w:val="00F4641B"/>
    <w:rsid w:val="00F46729"/>
    <w:rsid w:val="00F531A9"/>
    <w:rsid w:val="00F53429"/>
    <w:rsid w:val="00F53530"/>
    <w:rsid w:val="00F53DBA"/>
    <w:rsid w:val="00F54E5F"/>
    <w:rsid w:val="00F56049"/>
    <w:rsid w:val="00F575A0"/>
    <w:rsid w:val="00F624DA"/>
    <w:rsid w:val="00F62762"/>
    <w:rsid w:val="00F65475"/>
    <w:rsid w:val="00F6580F"/>
    <w:rsid w:val="00F66D5E"/>
    <w:rsid w:val="00F6723A"/>
    <w:rsid w:val="00F673FD"/>
    <w:rsid w:val="00F679DD"/>
    <w:rsid w:val="00F708B6"/>
    <w:rsid w:val="00F70BE8"/>
    <w:rsid w:val="00F70EFC"/>
    <w:rsid w:val="00F72C83"/>
    <w:rsid w:val="00F74151"/>
    <w:rsid w:val="00F75D80"/>
    <w:rsid w:val="00F76389"/>
    <w:rsid w:val="00F76421"/>
    <w:rsid w:val="00F76B98"/>
    <w:rsid w:val="00F77CCF"/>
    <w:rsid w:val="00F82E0D"/>
    <w:rsid w:val="00F85C55"/>
    <w:rsid w:val="00F85CB4"/>
    <w:rsid w:val="00F8690E"/>
    <w:rsid w:val="00F86B81"/>
    <w:rsid w:val="00F87185"/>
    <w:rsid w:val="00F87946"/>
    <w:rsid w:val="00F87BC7"/>
    <w:rsid w:val="00F905A3"/>
    <w:rsid w:val="00F91654"/>
    <w:rsid w:val="00F91F2B"/>
    <w:rsid w:val="00F942B8"/>
    <w:rsid w:val="00F94AFD"/>
    <w:rsid w:val="00F95462"/>
    <w:rsid w:val="00F95DBE"/>
    <w:rsid w:val="00F96093"/>
    <w:rsid w:val="00F97A5B"/>
    <w:rsid w:val="00FA0B68"/>
    <w:rsid w:val="00FA18BE"/>
    <w:rsid w:val="00FA2CB2"/>
    <w:rsid w:val="00FA2F6B"/>
    <w:rsid w:val="00FA38C1"/>
    <w:rsid w:val="00FA4C66"/>
    <w:rsid w:val="00FA663D"/>
    <w:rsid w:val="00FA768F"/>
    <w:rsid w:val="00FA7BC3"/>
    <w:rsid w:val="00FB0FF3"/>
    <w:rsid w:val="00FB1467"/>
    <w:rsid w:val="00FB155F"/>
    <w:rsid w:val="00FB3D5A"/>
    <w:rsid w:val="00FB3DF7"/>
    <w:rsid w:val="00FB571B"/>
    <w:rsid w:val="00FB5C93"/>
    <w:rsid w:val="00FB607F"/>
    <w:rsid w:val="00FC3B9D"/>
    <w:rsid w:val="00FC41BB"/>
    <w:rsid w:val="00FC5747"/>
    <w:rsid w:val="00FC705B"/>
    <w:rsid w:val="00FD004A"/>
    <w:rsid w:val="00FD043D"/>
    <w:rsid w:val="00FD27D9"/>
    <w:rsid w:val="00FD3D63"/>
    <w:rsid w:val="00FD3FFE"/>
    <w:rsid w:val="00FD552D"/>
    <w:rsid w:val="00FD6436"/>
    <w:rsid w:val="00FD78E6"/>
    <w:rsid w:val="00FE103F"/>
    <w:rsid w:val="00FE1267"/>
    <w:rsid w:val="00FE1961"/>
    <w:rsid w:val="00FE50B0"/>
    <w:rsid w:val="00FE514E"/>
    <w:rsid w:val="00FE57EF"/>
    <w:rsid w:val="00FF0222"/>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qFormat/>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1160EC"/>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160EC"/>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6190">
      <w:bodyDiv w:val="1"/>
      <w:marLeft w:val="0"/>
      <w:marRight w:val="0"/>
      <w:marTop w:val="0"/>
      <w:marBottom w:val="0"/>
      <w:divBdr>
        <w:top w:val="none" w:sz="0" w:space="0" w:color="auto"/>
        <w:left w:val="none" w:sz="0" w:space="0" w:color="auto"/>
        <w:bottom w:val="none" w:sz="0" w:space="0" w:color="auto"/>
        <w:right w:val="none" w:sz="0" w:space="0" w:color="auto"/>
      </w:divBdr>
      <w:divsChild>
        <w:div w:id="1726218883">
          <w:marLeft w:val="0"/>
          <w:marRight w:val="75"/>
          <w:marTop w:val="0"/>
          <w:marBottom w:val="0"/>
          <w:divBdr>
            <w:top w:val="none" w:sz="0" w:space="0" w:color="auto"/>
            <w:left w:val="none" w:sz="0" w:space="0" w:color="auto"/>
            <w:bottom w:val="none" w:sz="0" w:space="0" w:color="auto"/>
            <w:right w:val="none" w:sz="0" w:space="0" w:color="auto"/>
          </w:divBdr>
        </w:div>
        <w:div w:id="480390738">
          <w:marLeft w:val="0"/>
          <w:marRight w:val="0"/>
          <w:marTop w:val="0"/>
          <w:marBottom w:val="0"/>
          <w:divBdr>
            <w:top w:val="none" w:sz="0" w:space="0" w:color="auto"/>
            <w:left w:val="none" w:sz="0" w:space="0" w:color="auto"/>
            <w:bottom w:val="none" w:sz="0" w:space="0" w:color="auto"/>
            <w:right w:val="none" w:sz="0" w:space="0" w:color="auto"/>
          </w:divBdr>
          <w:divsChild>
            <w:div w:id="1594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112750217">
      <w:bodyDiv w:val="1"/>
      <w:marLeft w:val="0"/>
      <w:marRight w:val="0"/>
      <w:marTop w:val="0"/>
      <w:marBottom w:val="0"/>
      <w:divBdr>
        <w:top w:val="none" w:sz="0" w:space="0" w:color="auto"/>
        <w:left w:val="none" w:sz="0" w:space="0" w:color="auto"/>
        <w:bottom w:val="none" w:sz="0" w:space="0" w:color="auto"/>
        <w:right w:val="none" w:sz="0" w:space="0" w:color="auto"/>
      </w:divBdr>
    </w:div>
    <w:div w:id="153068394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2.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4.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2933</Words>
  <Characters>16722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2024-05-12T03:13:00Z</cp:lastPrinted>
  <dcterms:created xsi:type="dcterms:W3CDTF">2024-05-13T14:55:00Z</dcterms:created>
  <dcterms:modified xsi:type="dcterms:W3CDTF">2024-05-13T14:55:00Z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